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0A4" w:rsidRDefault="00DA57C9" w:rsidP="008F60A4">
      <w:pPr>
        <w:jc w:val="center"/>
        <w:rPr>
          <w:rFonts w:ascii="Arial" w:hAnsi="Arial" w:cs="Arial"/>
          <w:b/>
          <w:bCs/>
          <w:sz w:val="24"/>
          <w:szCs w:val="24"/>
        </w:rPr>
      </w:pPr>
      <w:r>
        <w:rPr>
          <w:rFonts w:ascii="Arial" w:hAnsi="Arial" w:cs="Arial"/>
          <w:b/>
          <w:bCs/>
          <w:sz w:val="24"/>
          <w:szCs w:val="24"/>
        </w:rPr>
        <w:t xml:space="preserve">Preliminary </w:t>
      </w:r>
      <w:r w:rsidR="008F60A4">
        <w:rPr>
          <w:rFonts w:ascii="Arial" w:hAnsi="Arial" w:cs="Arial"/>
          <w:b/>
          <w:bCs/>
          <w:sz w:val="24"/>
          <w:szCs w:val="24"/>
        </w:rPr>
        <w:t xml:space="preserve">Summary of </w:t>
      </w:r>
    </w:p>
    <w:p w:rsidR="008F60A4" w:rsidRDefault="008F60A4" w:rsidP="008F60A4">
      <w:pPr>
        <w:jc w:val="center"/>
        <w:rPr>
          <w:rFonts w:ascii="Arial" w:hAnsi="Arial" w:cs="Arial"/>
          <w:b/>
          <w:bCs/>
          <w:sz w:val="24"/>
          <w:szCs w:val="24"/>
        </w:rPr>
      </w:pPr>
      <w:r>
        <w:rPr>
          <w:rFonts w:ascii="Arial" w:hAnsi="Arial" w:cs="Arial"/>
          <w:b/>
          <w:bCs/>
          <w:sz w:val="24"/>
          <w:szCs w:val="24"/>
        </w:rPr>
        <w:t xml:space="preserve">Major Items </w:t>
      </w:r>
      <w:r w:rsidRPr="00085B80">
        <w:rPr>
          <w:rFonts w:ascii="Arial" w:hAnsi="Arial" w:cs="Arial"/>
          <w:b/>
          <w:bCs/>
          <w:sz w:val="24"/>
          <w:szCs w:val="24"/>
        </w:rPr>
        <w:t xml:space="preserve">in the Governor’s </w:t>
      </w:r>
      <w:r>
        <w:rPr>
          <w:rFonts w:ascii="Arial" w:hAnsi="Arial" w:cs="Arial"/>
          <w:b/>
          <w:bCs/>
          <w:sz w:val="24"/>
          <w:szCs w:val="24"/>
        </w:rPr>
        <w:t>Introduced</w:t>
      </w:r>
      <w:r w:rsidRPr="00085B80">
        <w:rPr>
          <w:rFonts w:ascii="Arial" w:hAnsi="Arial" w:cs="Arial"/>
          <w:b/>
          <w:bCs/>
          <w:sz w:val="24"/>
          <w:szCs w:val="24"/>
        </w:rPr>
        <w:t xml:space="preserve"> Budget </w:t>
      </w:r>
    </w:p>
    <w:p w:rsidR="008F60A4" w:rsidRDefault="008F60A4" w:rsidP="008F60A4">
      <w:pPr>
        <w:jc w:val="center"/>
        <w:rPr>
          <w:rFonts w:ascii="Arial" w:hAnsi="Arial" w:cs="Arial"/>
          <w:b/>
          <w:bCs/>
          <w:sz w:val="24"/>
          <w:szCs w:val="24"/>
        </w:rPr>
      </w:pPr>
      <w:proofErr w:type="gramStart"/>
      <w:r>
        <w:rPr>
          <w:rFonts w:ascii="Arial" w:hAnsi="Arial" w:cs="Arial"/>
          <w:b/>
          <w:bCs/>
          <w:sz w:val="24"/>
          <w:szCs w:val="24"/>
        </w:rPr>
        <w:t>for</w:t>
      </w:r>
      <w:proofErr w:type="gramEnd"/>
      <w:r>
        <w:rPr>
          <w:rFonts w:ascii="Arial" w:hAnsi="Arial" w:cs="Arial"/>
          <w:b/>
          <w:bCs/>
          <w:sz w:val="24"/>
          <w:szCs w:val="24"/>
        </w:rPr>
        <w:t xml:space="preserve"> Higher Education in</w:t>
      </w:r>
      <w:r w:rsidRPr="00085B80">
        <w:rPr>
          <w:rFonts w:ascii="Arial" w:hAnsi="Arial" w:cs="Arial"/>
          <w:b/>
          <w:bCs/>
          <w:sz w:val="24"/>
          <w:szCs w:val="24"/>
        </w:rPr>
        <w:t xml:space="preserve"> the 20</w:t>
      </w:r>
      <w:r>
        <w:rPr>
          <w:rFonts w:ascii="Arial" w:hAnsi="Arial" w:cs="Arial"/>
          <w:b/>
          <w:bCs/>
          <w:sz w:val="24"/>
          <w:szCs w:val="24"/>
        </w:rPr>
        <w:t>14</w:t>
      </w:r>
      <w:r w:rsidRPr="00085B80">
        <w:rPr>
          <w:rFonts w:ascii="Arial" w:hAnsi="Arial" w:cs="Arial"/>
          <w:b/>
          <w:bCs/>
          <w:sz w:val="24"/>
          <w:szCs w:val="24"/>
        </w:rPr>
        <w:t>-1</w:t>
      </w:r>
      <w:r>
        <w:rPr>
          <w:rFonts w:ascii="Arial" w:hAnsi="Arial" w:cs="Arial"/>
          <w:b/>
          <w:bCs/>
          <w:sz w:val="24"/>
          <w:szCs w:val="24"/>
        </w:rPr>
        <w:t>6</w:t>
      </w:r>
      <w:r w:rsidRPr="00085B80">
        <w:rPr>
          <w:rFonts w:ascii="Arial" w:hAnsi="Arial" w:cs="Arial"/>
          <w:b/>
          <w:bCs/>
          <w:sz w:val="24"/>
          <w:szCs w:val="24"/>
        </w:rPr>
        <w:t xml:space="preserve"> Biennium</w:t>
      </w:r>
    </w:p>
    <w:p w:rsidR="00C82E2A" w:rsidRDefault="00DE3388" w:rsidP="00312BC0">
      <w:pPr>
        <w:jc w:val="center"/>
        <w:rPr>
          <w:rFonts w:ascii="Arial" w:hAnsi="Arial" w:cs="Arial"/>
          <w:b/>
          <w:bCs/>
          <w:sz w:val="24"/>
          <w:szCs w:val="24"/>
        </w:rPr>
      </w:pPr>
      <w:r>
        <w:rPr>
          <w:rFonts w:ascii="Arial" w:hAnsi="Arial" w:cs="Arial"/>
          <w:b/>
          <w:bCs/>
          <w:sz w:val="24"/>
          <w:szCs w:val="24"/>
        </w:rPr>
        <w:t xml:space="preserve"> </w:t>
      </w:r>
      <w:r w:rsidR="00C82E2A">
        <w:rPr>
          <w:rFonts w:ascii="Arial" w:hAnsi="Arial" w:cs="Arial"/>
          <w:b/>
          <w:bCs/>
          <w:sz w:val="24"/>
          <w:szCs w:val="24"/>
        </w:rPr>
        <w:t>(General Fund)</w:t>
      </w:r>
    </w:p>
    <w:p w:rsidR="00225A5E" w:rsidRDefault="00225A5E" w:rsidP="00225A5E">
      <w:pPr>
        <w:rPr>
          <w:rFonts w:ascii="Arial" w:hAnsi="Arial" w:cs="Arial"/>
          <w:b/>
          <w:bCs/>
          <w:sz w:val="22"/>
          <w:szCs w:val="22"/>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1"/>
        <w:gridCol w:w="7309"/>
      </w:tblGrid>
      <w:tr w:rsidR="004A118B" w:rsidRPr="0000148A" w:rsidTr="001F0F1C">
        <w:tc>
          <w:tcPr>
            <w:tcW w:w="2771" w:type="dxa"/>
          </w:tcPr>
          <w:p w:rsidR="004A118B" w:rsidRPr="0000148A" w:rsidRDefault="004A118B" w:rsidP="0000148A">
            <w:pPr>
              <w:jc w:val="center"/>
              <w:rPr>
                <w:rFonts w:ascii="Arial" w:hAnsi="Arial" w:cs="Arial"/>
                <w:b/>
                <w:sz w:val="24"/>
              </w:rPr>
            </w:pPr>
            <w:r w:rsidRPr="0000148A">
              <w:rPr>
                <w:rFonts w:ascii="Arial" w:hAnsi="Arial" w:cs="Arial"/>
                <w:b/>
                <w:sz w:val="24"/>
              </w:rPr>
              <w:t>Item</w:t>
            </w:r>
          </w:p>
        </w:tc>
        <w:tc>
          <w:tcPr>
            <w:tcW w:w="7309" w:type="dxa"/>
          </w:tcPr>
          <w:p w:rsidR="004A118B" w:rsidRPr="0000148A" w:rsidRDefault="004A118B" w:rsidP="00B85D42">
            <w:pPr>
              <w:jc w:val="center"/>
              <w:rPr>
                <w:rFonts w:ascii="Arial" w:hAnsi="Arial" w:cs="Arial"/>
                <w:b/>
                <w:sz w:val="24"/>
              </w:rPr>
            </w:pPr>
            <w:r w:rsidRPr="0000148A">
              <w:rPr>
                <w:rFonts w:ascii="Arial" w:hAnsi="Arial" w:cs="Arial"/>
                <w:b/>
                <w:sz w:val="24"/>
              </w:rPr>
              <w:t>20</w:t>
            </w:r>
            <w:r w:rsidR="00F70733" w:rsidRPr="0000148A">
              <w:rPr>
                <w:rFonts w:ascii="Arial" w:hAnsi="Arial" w:cs="Arial"/>
                <w:b/>
                <w:sz w:val="24"/>
              </w:rPr>
              <w:t>1</w:t>
            </w:r>
            <w:r w:rsidR="00B85D42">
              <w:rPr>
                <w:rFonts w:ascii="Arial" w:hAnsi="Arial" w:cs="Arial"/>
                <w:b/>
                <w:sz w:val="24"/>
              </w:rPr>
              <w:t>4</w:t>
            </w:r>
            <w:r w:rsidRPr="0000148A">
              <w:rPr>
                <w:rFonts w:ascii="Arial" w:hAnsi="Arial" w:cs="Arial"/>
                <w:b/>
                <w:sz w:val="24"/>
              </w:rPr>
              <w:t>-1</w:t>
            </w:r>
            <w:r w:rsidR="00B85D42">
              <w:rPr>
                <w:rFonts w:ascii="Arial" w:hAnsi="Arial" w:cs="Arial"/>
                <w:b/>
                <w:sz w:val="24"/>
              </w:rPr>
              <w:t>6</w:t>
            </w:r>
            <w:r w:rsidRPr="0000148A">
              <w:rPr>
                <w:rFonts w:ascii="Arial" w:hAnsi="Arial" w:cs="Arial"/>
                <w:b/>
                <w:sz w:val="24"/>
              </w:rPr>
              <w:t xml:space="preserve"> Budget</w:t>
            </w:r>
            <w:r w:rsidR="00300436" w:rsidRPr="0000148A">
              <w:rPr>
                <w:rFonts w:ascii="Arial" w:hAnsi="Arial" w:cs="Arial"/>
                <w:b/>
                <w:sz w:val="24"/>
              </w:rPr>
              <w:t xml:space="preserve"> for Operations</w:t>
            </w:r>
          </w:p>
        </w:tc>
      </w:tr>
      <w:tr w:rsidR="00C04F63" w:rsidRPr="0000148A" w:rsidTr="001F0F1C">
        <w:tc>
          <w:tcPr>
            <w:tcW w:w="10080" w:type="dxa"/>
            <w:gridSpan w:val="2"/>
          </w:tcPr>
          <w:p w:rsidR="00C04F63" w:rsidRPr="0000148A" w:rsidRDefault="00C04F63" w:rsidP="00880AA7">
            <w:pPr>
              <w:rPr>
                <w:rFonts w:ascii="Arial" w:hAnsi="Arial" w:cs="Arial"/>
                <w:sz w:val="24"/>
              </w:rPr>
            </w:pPr>
            <w:r w:rsidRPr="0000148A">
              <w:rPr>
                <w:rFonts w:ascii="Arial" w:hAnsi="Arial" w:cs="Arial"/>
                <w:b/>
                <w:i/>
                <w:sz w:val="24"/>
              </w:rPr>
              <w:t xml:space="preserve">(A) </w:t>
            </w:r>
            <w:r w:rsidR="00880AA7">
              <w:rPr>
                <w:rFonts w:ascii="Arial" w:hAnsi="Arial" w:cs="Arial"/>
                <w:b/>
                <w:i/>
                <w:sz w:val="24"/>
              </w:rPr>
              <w:t xml:space="preserve">Formula-derived </w:t>
            </w:r>
            <w:r w:rsidRPr="0000148A">
              <w:rPr>
                <w:rFonts w:ascii="Arial" w:hAnsi="Arial" w:cs="Arial"/>
                <w:b/>
                <w:i/>
                <w:sz w:val="24"/>
              </w:rPr>
              <w:t>Operating Budget for All Institutions</w:t>
            </w:r>
          </w:p>
        </w:tc>
      </w:tr>
      <w:tr w:rsidR="00B85D42" w:rsidRPr="0000148A" w:rsidTr="00B85D42">
        <w:tc>
          <w:tcPr>
            <w:tcW w:w="10080" w:type="dxa"/>
            <w:gridSpan w:val="2"/>
          </w:tcPr>
          <w:p w:rsidR="00B85D42" w:rsidRPr="00880AA7" w:rsidRDefault="00880AA7" w:rsidP="00880AA7">
            <w:pPr>
              <w:pStyle w:val="ListParagraph"/>
              <w:numPr>
                <w:ilvl w:val="0"/>
                <w:numId w:val="13"/>
              </w:numPr>
              <w:ind w:left="432" w:hanging="432"/>
              <w:rPr>
                <w:rFonts w:ascii="Arial" w:hAnsi="Arial" w:cs="Arial"/>
                <w:b/>
                <w:sz w:val="24"/>
              </w:rPr>
            </w:pPr>
            <w:r w:rsidRPr="00880AA7">
              <w:rPr>
                <w:rFonts w:ascii="Arial" w:hAnsi="Arial" w:cs="Arial"/>
                <w:b/>
                <w:sz w:val="24"/>
              </w:rPr>
              <w:t>B</w:t>
            </w:r>
            <w:r>
              <w:rPr>
                <w:rFonts w:ascii="Arial" w:hAnsi="Arial" w:cs="Arial"/>
                <w:b/>
                <w:sz w:val="24"/>
              </w:rPr>
              <w:t>ase O</w:t>
            </w:r>
            <w:r w:rsidR="00B85D42" w:rsidRPr="00880AA7">
              <w:rPr>
                <w:rFonts w:ascii="Arial" w:hAnsi="Arial" w:cs="Arial"/>
                <w:b/>
                <w:sz w:val="24"/>
              </w:rPr>
              <w:t xml:space="preserve">peration and </w:t>
            </w:r>
            <w:r>
              <w:rPr>
                <w:rFonts w:ascii="Arial" w:hAnsi="Arial" w:cs="Arial"/>
                <w:b/>
                <w:sz w:val="24"/>
              </w:rPr>
              <w:t>S</w:t>
            </w:r>
            <w:r w:rsidR="00B85D42" w:rsidRPr="00880AA7">
              <w:rPr>
                <w:rFonts w:ascii="Arial" w:hAnsi="Arial" w:cs="Arial"/>
                <w:b/>
                <w:sz w:val="24"/>
              </w:rPr>
              <w:t xml:space="preserve">tudent </w:t>
            </w:r>
            <w:r>
              <w:rPr>
                <w:rFonts w:ascii="Arial" w:hAnsi="Arial" w:cs="Arial"/>
                <w:b/>
                <w:sz w:val="24"/>
              </w:rPr>
              <w:t>F</w:t>
            </w:r>
            <w:r w:rsidR="00B85D42" w:rsidRPr="00880AA7">
              <w:rPr>
                <w:rFonts w:ascii="Arial" w:hAnsi="Arial" w:cs="Arial"/>
                <w:b/>
                <w:sz w:val="24"/>
              </w:rPr>
              <w:t xml:space="preserve">inancial </w:t>
            </w:r>
            <w:r>
              <w:rPr>
                <w:rFonts w:ascii="Arial" w:hAnsi="Arial" w:cs="Arial"/>
                <w:b/>
                <w:sz w:val="24"/>
              </w:rPr>
              <w:t>A</w:t>
            </w:r>
            <w:r w:rsidR="00B85D42" w:rsidRPr="00880AA7">
              <w:rPr>
                <w:rFonts w:ascii="Arial" w:hAnsi="Arial" w:cs="Arial"/>
                <w:b/>
                <w:sz w:val="24"/>
              </w:rPr>
              <w:t>id</w:t>
            </w:r>
            <w:r>
              <w:rPr>
                <w:rFonts w:ascii="Arial" w:hAnsi="Arial" w:cs="Arial"/>
                <w:b/>
                <w:sz w:val="24"/>
              </w:rPr>
              <w:t xml:space="preserve"> </w:t>
            </w:r>
          </w:p>
        </w:tc>
      </w:tr>
      <w:tr w:rsidR="00C04F63" w:rsidRPr="0000148A" w:rsidTr="001F0F1C">
        <w:tc>
          <w:tcPr>
            <w:tcW w:w="2771" w:type="dxa"/>
          </w:tcPr>
          <w:p w:rsidR="00C04F63" w:rsidRPr="0000148A" w:rsidRDefault="00AE407D" w:rsidP="00EF3FC3">
            <w:pPr>
              <w:rPr>
                <w:rFonts w:ascii="Arial" w:hAnsi="Arial" w:cs="Arial"/>
                <w:sz w:val="24"/>
              </w:rPr>
            </w:pPr>
            <w:r w:rsidRPr="0000148A">
              <w:rPr>
                <w:rFonts w:ascii="Arial" w:hAnsi="Arial" w:cs="Arial"/>
                <w:sz w:val="24"/>
              </w:rPr>
              <w:t>Increase base funding for operational cost</w:t>
            </w:r>
            <w:r w:rsidR="00EF3FC3">
              <w:rPr>
                <w:rFonts w:ascii="Arial" w:hAnsi="Arial" w:cs="Arial"/>
                <w:sz w:val="24"/>
              </w:rPr>
              <w:t>s</w:t>
            </w:r>
          </w:p>
        </w:tc>
        <w:tc>
          <w:tcPr>
            <w:tcW w:w="7309" w:type="dxa"/>
          </w:tcPr>
          <w:p w:rsidR="001F0F1C" w:rsidRDefault="008C27FF" w:rsidP="00114676">
            <w:pPr>
              <w:rPr>
                <w:rFonts w:ascii="Arial" w:hAnsi="Arial" w:cs="Arial"/>
                <w:sz w:val="24"/>
              </w:rPr>
            </w:pPr>
            <w:r w:rsidRPr="0000148A">
              <w:rPr>
                <w:rFonts w:ascii="Arial" w:hAnsi="Arial" w:cs="Arial"/>
                <w:sz w:val="24"/>
              </w:rPr>
              <w:t>$</w:t>
            </w:r>
            <w:r w:rsidR="00B85D42">
              <w:rPr>
                <w:rFonts w:ascii="Arial" w:hAnsi="Arial" w:cs="Arial"/>
                <w:sz w:val="24"/>
              </w:rPr>
              <w:t>6.7</w:t>
            </w:r>
            <w:r w:rsidR="00AE407D" w:rsidRPr="0000148A">
              <w:rPr>
                <w:rFonts w:ascii="Arial" w:hAnsi="Arial" w:cs="Arial"/>
                <w:sz w:val="24"/>
              </w:rPr>
              <w:t>5</w:t>
            </w:r>
            <w:r w:rsidRPr="0000148A">
              <w:rPr>
                <w:rFonts w:ascii="Arial" w:hAnsi="Arial" w:cs="Arial"/>
                <w:sz w:val="24"/>
              </w:rPr>
              <w:t xml:space="preserve"> million </w:t>
            </w:r>
            <w:r w:rsidR="0001191F" w:rsidRPr="0000148A">
              <w:rPr>
                <w:rFonts w:ascii="Arial" w:hAnsi="Arial" w:cs="Arial"/>
                <w:sz w:val="24"/>
              </w:rPr>
              <w:t xml:space="preserve">per year. </w:t>
            </w:r>
            <w:r w:rsidR="00B85D42">
              <w:rPr>
                <w:rFonts w:ascii="Arial" w:hAnsi="Arial" w:cs="Arial"/>
                <w:sz w:val="24"/>
              </w:rPr>
              <w:t xml:space="preserve">Provide funding for institutions </w:t>
            </w:r>
            <w:r w:rsidR="00D84B71">
              <w:rPr>
                <w:rFonts w:ascii="Arial" w:hAnsi="Arial" w:cs="Arial"/>
                <w:sz w:val="24"/>
              </w:rPr>
              <w:t>to meet at least 92% of the guidelines.</w:t>
            </w:r>
          </w:p>
          <w:p w:rsidR="00B85D42" w:rsidRDefault="00B85D42" w:rsidP="00B85D42">
            <w:pPr>
              <w:numPr>
                <w:ilvl w:val="0"/>
                <w:numId w:val="1"/>
              </w:numPr>
              <w:tabs>
                <w:tab w:val="clear" w:pos="1512"/>
                <w:tab w:val="num" w:pos="-108"/>
              </w:tabs>
              <w:ind w:left="451" w:hanging="270"/>
              <w:rPr>
                <w:rFonts w:ascii="Arial" w:hAnsi="Arial" w:cs="Arial"/>
                <w:sz w:val="24"/>
              </w:rPr>
            </w:pPr>
            <w:r>
              <w:rPr>
                <w:rFonts w:ascii="Arial" w:hAnsi="Arial" w:cs="Arial"/>
                <w:sz w:val="24"/>
              </w:rPr>
              <w:t xml:space="preserve">NSU </w:t>
            </w:r>
            <w:r w:rsidR="00114676">
              <w:rPr>
                <w:rFonts w:ascii="Arial" w:hAnsi="Arial" w:cs="Arial"/>
                <w:sz w:val="24"/>
              </w:rPr>
              <w:t>--</w:t>
            </w:r>
            <w:r>
              <w:rPr>
                <w:rFonts w:ascii="Arial" w:hAnsi="Arial" w:cs="Arial"/>
                <w:sz w:val="24"/>
              </w:rPr>
              <w:t xml:space="preserve"> $1.35 million per year</w:t>
            </w:r>
          </w:p>
          <w:p w:rsidR="00B85D42" w:rsidRPr="00B85D42" w:rsidRDefault="00B85D42" w:rsidP="00114676">
            <w:pPr>
              <w:numPr>
                <w:ilvl w:val="0"/>
                <w:numId w:val="1"/>
              </w:numPr>
              <w:tabs>
                <w:tab w:val="clear" w:pos="1512"/>
                <w:tab w:val="num" w:pos="-108"/>
              </w:tabs>
              <w:ind w:left="451" w:hanging="270"/>
              <w:rPr>
                <w:rFonts w:ascii="Arial" w:hAnsi="Arial" w:cs="Arial"/>
                <w:sz w:val="24"/>
              </w:rPr>
            </w:pPr>
            <w:r>
              <w:rPr>
                <w:rFonts w:ascii="Arial" w:hAnsi="Arial" w:cs="Arial"/>
                <w:sz w:val="24"/>
              </w:rPr>
              <w:t xml:space="preserve">ODU </w:t>
            </w:r>
            <w:r w:rsidR="00114676">
              <w:rPr>
                <w:rFonts w:ascii="Arial" w:hAnsi="Arial" w:cs="Arial"/>
                <w:sz w:val="24"/>
              </w:rPr>
              <w:t>--</w:t>
            </w:r>
            <w:r>
              <w:rPr>
                <w:rFonts w:ascii="Arial" w:hAnsi="Arial" w:cs="Arial"/>
                <w:sz w:val="24"/>
              </w:rPr>
              <w:t xml:space="preserve"> $5.4 million per year</w:t>
            </w:r>
          </w:p>
        </w:tc>
      </w:tr>
      <w:tr w:rsidR="00B85D42" w:rsidRPr="0000148A" w:rsidTr="001F0F1C">
        <w:tc>
          <w:tcPr>
            <w:tcW w:w="2771" w:type="dxa"/>
          </w:tcPr>
          <w:p w:rsidR="00B85D42" w:rsidRPr="0000148A" w:rsidRDefault="00B85D42" w:rsidP="00B85D42">
            <w:pPr>
              <w:rPr>
                <w:rFonts w:ascii="Arial" w:hAnsi="Arial" w:cs="Arial"/>
                <w:sz w:val="24"/>
              </w:rPr>
            </w:pPr>
            <w:r w:rsidRPr="0000148A">
              <w:rPr>
                <w:rFonts w:ascii="Arial" w:hAnsi="Arial" w:cs="Arial"/>
                <w:sz w:val="24"/>
              </w:rPr>
              <w:t xml:space="preserve">Increase </w:t>
            </w:r>
            <w:r>
              <w:rPr>
                <w:rFonts w:ascii="Arial" w:hAnsi="Arial" w:cs="Arial"/>
                <w:sz w:val="24"/>
              </w:rPr>
              <w:t xml:space="preserve">undergraduate </w:t>
            </w:r>
            <w:r w:rsidRPr="0000148A">
              <w:rPr>
                <w:rFonts w:ascii="Arial" w:hAnsi="Arial" w:cs="Arial"/>
                <w:sz w:val="24"/>
              </w:rPr>
              <w:t>financial aid</w:t>
            </w:r>
          </w:p>
        </w:tc>
        <w:tc>
          <w:tcPr>
            <w:tcW w:w="7309" w:type="dxa"/>
          </w:tcPr>
          <w:p w:rsidR="00136A83" w:rsidRDefault="00B85D42" w:rsidP="00136A83">
            <w:pPr>
              <w:rPr>
                <w:rFonts w:ascii="Arial" w:hAnsi="Arial" w:cs="Arial"/>
                <w:sz w:val="24"/>
              </w:rPr>
            </w:pPr>
            <w:r w:rsidRPr="0000148A">
              <w:rPr>
                <w:rFonts w:ascii="Arial" w:hAnsi="Arial" w:cs="Arial"/>
                <w:sz w:val="24"/>
              </w:rPr>
              <w:t>$</w:t>
            </w:r>
            <w:r>
              <w:rPr>
                <w:rFonts w:ascii="Arial" w:hAnsi="Arial" w:cs="Arial"/>
                <w:sz w:val="24"/>
              </w:rPr>
              <w:t>1</w:t>
            </w:r>
            <w:r w:rsidRPr="0000148A">
              <w:rPr>
                <w:rFonts w:ascii="Arial" w:hAnsi="Arial" w:cs="Arial"/>
                <w:sz w:val="24"/>
              </w:rPr>
              <w:t>4</w:t>
            </w:r>
            <w:r>
              <w:rPr>
                <w:rFonts w:ascii="Arial" w:hAnsi="Arial" w:cs="Arial"/>
                <w:sz w:val="24"/>
              </w:rPr>
              <w:t>,175,000</w:t>
            </w:r>
            <w:r w:rsidRPr="0000148A">
              <w:rPr>
                <w:rFonts w:ascii="Arial" w:hAnsi="Arial" w:cs="Arial"/>
                <w:sz w:val="24"/>
              </w:rPr>
              <w:t xml:space="preserve"> per year</w:t>
            </w:r>
            <w:r>
              <w:rPr>
                <w:rFonts w:ascii="Arial" w:hAnsi="Arial" w:cs="Arial"/>
                <w:sz w:val="24"/>
              </w:rPr>
              <w:t xml:space="preserve">. </w:t>
            </w:r>
          </w:p>
          <w:p w:rsidR="00136A83" w:rsidRDefault="00136A83" w:rsidP="00136A83">
            <w:pPr>
              <w:rPr>
                <w:rFonts w:ascii="Arial" w:hAnsi="Arial" w:cs="Arial"/>
                <w:sz w:val="24"/>
              </w:rPr>
            </w:pPr>
          </w:p>
          <w:p w:rsidR="00B85D42" w:rsidRPr="0000148A" w:rsidRDefault="00136A83" w:rsidP="00136A83">
            <w:pPr>
              <w:rPr>
                <w:rFonts w:ascii="Arial" w:hAnsi="Arial" w:cs="Arial"/>
                <w:sz w:val="24"/>
              </w:rPr>
            </w:pPr>
            <w:r>
              <w:rPr>
                <w:rFonts w:ascii="Arial" w:hAnsi="Arial" w:cs="Arial"/>
                <w:sz w:val="24"/>
              </w:rPr>
              <w:t xml:space="preserve">The goal is to move institutions toward the 40% of the Partnership model. </w:t>
            </w:r>
            <w:r w:rsidR="00B85D42">
              <w:rPr>
                <w:rFonts w:ascii="Arial" w:hAnsi="Arial" w:cs="Arial"/>
                <w:sz w:val="24"/>
              </w:rPr>
              <w:t xml:space="preserve">Each institution gets an annual additional funding of $100,000.  Institutions below </w:t>
            </w:r>
            <w:r>
              <w:rPr>
                <w:rFonts w:ascii="Arial" w:hAnsi="Arial" w:cs="Arial"/>
                <w:sz w:val="24"/>
              </w:rPr>
              <w:t xml:space="preserve">the </w:t>
            </w:r>
            <w:r w:rsidR="00B85D42" w:rsidRPr="003B6703">
              <w:rPr>
                <w:rFonts w:ascii="Arial" w:hAnsi="Arial" w:cs="Arial"/>
                <w:sz w:val="24"/>
              </w:rPr>
              <w:t xml:space="preserve">40% of </w:t>
            </w:r>
            <w:r w:rsidR="003B6703" w:rsidRPr="003B6703">
              <w:rPr>
                <w:rFonts w:ascii="Arial" w:hAnsi="Arial" w:cs="Arial"/>
                <w:sz w:val="24"/>
              </w:rPr>
              <w:t>the Partnership mode</w:t>
            </w:r>
            <w:r w:rsidR="003B6703">
              <w:rPr>
                <w:rFonts w:ascii="Arial" w:hAnsi="Arial" w:cs="Arial"/>
                <w:sz w:val="24"/>
              </w:rPr>
              <w:t>l</w:t>
            </w:r>
            <w:r w:rsidR="00B85D42" w:rsidRPr="003B6703">
              <w:rPr>
                <w:rFonts w:ascii="Arial" w:hAnsi="Arial" w:cs="Arial"/>
                <w:sz w:val="24"/>
              </w:rPr>
              <w:t xml:space="preserve"> get additional funding.</w:t>
            </w:r>
            <w:r w:rsidR="003B6703">
              <w:rPr>
                <w:rFonts w:ascii="Arial" w:hAnsi="Arial" w:cs="Arial"/>
                <w:sz w:val="24"/>
              </w:rPr>
              <w:t xml:space="preserve"> </w:t>
            </w:r>
          </w:p>
        </w:tc>
      </w:tr>
      <w:tr w:rsidR="00B85D42" w:rsidRPr="0000148A" w:rsidTr="001F0F1C">
        <w:tc>
          <w:tcPr>
            <w:tcW w:w="2771" w:type="dxa"/>
          </w:tcPr>
          <w:p w:rsidR="00B85D42" w:rsidRPr="0000148A" w:rsidRDefault="00B85D42" w:rsidP="00B85D42">
            <w:pPr>
              <w:rPr>
                <w:rFonts w:ascii="Arial" w:hAnsi="Arial" w:cs="Arial"/>
                <w:sz w:val="24"/>
              </w:rPr>
            </w:pPr>
            <w:r w:rsidRPr="0000148A">
              <w:rPr>
                <w:rFonts w:ascii="Arial" w:hAnsi="Arial" w:cs="Arial"/>
                <w:sz w:val="24"/>
              </w:rPr>
              <w:t xml:space="preserve">Increase </w:t>
            </w:r>
            <w:r>
              <w:rPr>
                <w:rFonts w:ascii="Arial" w:hAnsi="Arial" w:cs="Arial"/>
                <w:sz w:val="24"/>
              </w:rPr>
              <w:t xml:space="preserve">graduate </w:t>
            </w:r>
            <w:r w:rsidRPr="0000148A">
              <w:rPr>
                <w:rFonts w:ascii="Arial" w:hAnsi="Arial" w:cs="Arial"/>
                <w:sz w:val="24"/>
              </w:rPr>
              <w:t>financial aid</w:t>
            </w:r>
          </w:p>
        </w:tc>
        <w:tc>
          <w:tcPr>
            <w:tcW w:w="7309" w:type="dxa"/>
          </w:tcPr>
          <w:p w:rsidR="00B85D42" w:rsidRDefault="00B85D42" w:rsidP="00136A83">
            <w:pPr>
              <w:rPr>
                <w:rFonts w:ascii="Arial" w:hAnsi="Arial" w:cs="Arial"/>
                <w:sz w:val="24"/>
              </w:rPr>
            </w:pPr>
            <w:r>
              <w:rPr>
                <w:rFonts w:ascii="Arial" w:hAnsi="Arial" w:cs="Arial"/>
                <w:sz w:val="24"/>
              </w:rPr>
              <w:t xml:space="preserve">$1,575,000 per year. </w:t>
            </w:r>
          </w:p>
          <w:p w:rsidR="00136A83" w:rsidRDefault="00136A83" w:rsidP="00136A83">
            <w:pPr>
              <w:rPr>
                <w:rFonts w:ascii="Arial" w:hAnsi="Arial" w:cs="Arial"/>
                <w:sz w:val="24"/>
              </w:rPr>
            </w:pPr>
          </w:p>
          <w:p w:rsidR="00136A83" w:rsidRPr="0000148A" w:rsidRDefault="00136A83" w:rsidP="00114676">
            <w:pPr>
              <w:rPr>
                <w:rFonts w:ascii="Arial" w:hAnsi="Arial" w:cs="Arial"/>
                <w:sz w:val="24"/>
              </w:rPr>
            </w:pPr>
            <w:r>
              <w:rPr>
                <w:rFonts w:ascii="Arial" w:hAnsi="Arial" w:cs="Arial"/>
                <w:sz w:val="24"/>
              </w:rPr>
              <w:t xml:space="preserve">Provide additional funding to institutions with a research function, and </w:t>
            </w:r>
            <w:r w:rsidR="00114676">
              <w:rPr>
                <w:rFonts w:ascii="Arial" w:hAnsi="Arial" w:cs="Arial"/>
                <w:sz w:val="24"/>
              </w:rPr>
              <w:t>funding</w:t>
            </w:r>
            <w:r>
              <w:rPr>
                <w:rFonts w:ascii="Arial" w:hAnsi="Arial" w:cs="Arial"/>
                <w:sz w:val="24"/>
              </w:rPr>
              <w:t xml:space="preserve"> distribution </w:t>
            </w:r>
            <w:r w:rsidR="00114676">
              <w:rPr>
                <w:rFonts w:ascii="Arial" w:hAnsi="Arial" w:cs="Arial"/>
                <w:sz w:val="24"/>
              </w:rPr>
              <w:t xml:space="preserve">is based </w:t>
            </w:r>
            <w:r>
              <w:rPr>
                <w:rFonts w:ascii="Arial" w:hAnsi="Arial" w:cs="Arial"/>
                <w:sz w:val="24"/>
              </w:rPr>
              <w:t>on the SCHEV recommendation and methodology.</w:t>
            </w:r>
          </w:p>
        </w:tc>
      </w:tr>
      <w:tr w:rsidR="00B85D42" w:rsidRPr="0000148A" w:rsidTr="00B85D42">
        <w:tc>
          <w:tcPr>
            <w:tcW w:w="10080" w:type="dxa"/>
            <w:gridSpan w:val="2"/>
          </w:tcPr>
          <w:p w:rsidR="00B85D42" w:rsidRPr="00880AA7" w:rsidRDefault="00880AA7" w:rsidP="00527270">
            <w:pPr>
              <w:pStyle w:val="ListParagraph"/>
              <w:numPr>
                <w:ilvl w:val="0"/>
                <w:numId w:val="13"/>
              </w:numPr>
              <w:ind w:left="342"/>
              <w:rPr>
                <w:rFonts w:ascii="Arial" w:hAnsi="Arial" w:cs="Arial"/>
                <w:b/>
                <w:sz w:val="24"/>
              </w:rPr>
            </w:pPr>
            <w:r>
              <w:rPr>
                <w:rFonts w:ascii="Arial" w:hAnsi="Arial" w:cs="Arial"/>
                <w:b/>
                <w:sz w:val="24"/>
              </w:rPr>
              <w:t>Performance-Based Incentive</w:t>
            </w:r>
            <w:r w:rsidRPr="00880AA7">
              <w:rPr>
                <w:rFonts w:ascii="Arial" w:hAnsi="Arial" w:cs="Arial"/>
                <w:b/>
                <w:sz w:val="24"/>
              </w:rPr>
              <w:t xml:space="preserve"> Funding</w:t>
            </w:r>
          </w:p>
        </w:tc>
      </w:tr>
      <w:tr w:rsidR="00527270" w:rsidRPr="0000148A" w:rsidTr="001F0F1C">
        <w:tc>
          <w:tcPr>
            <w:tcW w:w="2771" w:type="dxa"/>
          </w:tcPr>
          <w:p w:rsidR="00527270" w:rsidRPr="0000148A" w:rsidRDefault="00527270" w:rsidP="00527270">
            <w:pPr>
              <w:rPr>
                <w:rFonts w:ascii="Arial" w:hAnsi="Arial" w:cs="Arial"/>
                <w:sz w:val="24"/>
              </w:rPr>
            </w:pPr>
            <w:r>
              <w:rPr>
                <w:rFonts w:ascii="Arial" w:hAnsi="Arial" w:cs="Arial"/>
                <w:sz w:val="24"/>
              </w:rPr>
              <w:t>In-state undergraduate e</w:t>
            </w:r>
            <w:r w:rsidRPr="0000148A">
              <w:rPr>
                <w:rFonts w:ascii="Arial" w:hAnsi="Arial" w:cs="Arial"/>
                <w:sz w:val="24"/>
              </w:rPr>
              <w:t>nrollment growth</w:t>
            </w:r>
          </w:p>
        </w:tc>
        <w:tc>
          <w:tcPr>
            <w:tcW w:w="7309" w:type="dxa"/>
          </w:tcPr>
          <w:p w:rsidR="00527270" w:rsidRPr="0000148A" w:rsidRDefault="00527270" w:rsidP="00F52447">
            <w:pPr>
              <w:rPr>
                <w:rFonts w:ascii="Arial" w:hAnsi="Arial" w:cs="Arial"/>
                <w:sz w:val="24"/>
              </w:rPr>
            </w:pPr>
            <w:r w:rsidRPr="0000148A">
              <w:rPr>
                <w:rFonts w:ascii="Arial" w:hAnsi="Arial" w:cs="Arial"/>
                <w:sz w:val="24"/>
              </w:rPr>
              <w:t>$1</w:t>
            </w:r>
            <w:r>
              <w:rPr>
                <w:rFonts w:ascii="Arial" w:hAnsi="Arial" w:cs="Arial"/>
                <w:sz w:val="24"/>
              </w:rPr>
              <w:t>0</w:t>
            </w:r>
            <w:r w:rsidRPr="0000148A">
              <w:rPr>
                <w:rFonts w:ascii="Arial" w:hAnsi="Arial" w:cs="Arial"/>
                <w:sz w:val="24"/>
              </w:rPr>
              <w:t>.</w:t>
            </w:r>
            <w:r>
              <w:rPr>
                <w:rFonts w:ascii="Arial" w:hAnsi="Arial" w:cs="Arial"/>
                <w:sz w:val="24"/>
              </w:rPr>
              <w:t>5</w:t>
            </w:r>
            <w:r w:rsidRPr="0000148A">
              <w:rPr>
                <w:rFonts w:ascii="Arial" w:hAnsi="Arial" w:cs="Arial"/>
                <w:sz w:val="24"/>
              </w:rPr>
              <w:t xml:space="preserve"> million per year.</w:t>
            </w:r>
          </w:p>
          <w:p w:rsidR="00527270" w:rsidRPr="0000148A" w:rsidRDefault="00527270" w:rsidP="00F52447">
            <w:pPr>
              <w:rPr>
                <w:rFonts w:ascii="Arial" w:hAnsi="Arial" w:cs="Arial"/>
                <w:sz w:val="24"/>
              </w:rPr>
            </w:pPr>
          </w:p>
          <w:p w:rsidR="00527270" w:rsidRDefault="00527270" w:rsidP="00F52447">
            <w:pPr>
              <w:numPr>
                <w:ilvl w:val="0"/>
                <w:numId w:val="3"/>
              </w:numPr>
              <w:ind w:left="162" w:hanging="162"/>
              <w:rPr>
                <w:rFonts w:ascii="Arial" w:hAnsi="Arial" w:cs="Arial"/>
                <w:sz w:val="24"/>
              </w:rPr>
            </w:pPr>
            <w:r>
              <w:rPr>
                <w:rFonts w:ascii="Arial" w:hAnsi="Arial" w:cs="Arial"/>
                <w:sz w:val="24"/>
              </w:rPr>
              <w:t>Support the provisions of the TJ21 legislation.</w:t>
            </w:r>
          </w:p>
          <w:p w:rsidR="00527270" w:rsidRPr="0000148A" w:rsidRDefault="00527270" w:rsidP="00F52447">
            <w:pPr>
              <w:numPr>
                <w:ilvl w:val="0"/>
                <w:numId w:val="3"/>
              </w:numPr>
              <w:ind w:left="162" w:hanging="162"/>
              <w:rPr>
                <w:rFonts w:ascii="Arial" w:hAnsi="Arial" w:cs="Arial"/>
                <w:sz w:val="24"/>
              </w:rPr>
            </w:pPr>
            <w:r w:rsidRPr="0000148A">
              <w:rPr>
                <w:rFonts w:ascii="Arial" w:hAnsi="Arial" w:cs="Arial"/>
                <w:sz w:val="24"/>
              </w:rPr>
              <w:t xml:space="preserve">Based on </w:t>
            </w:r>
            <w:r>
              <w:rPr>
                <w:rFonts w:ascii="Arial" w:hAnsi="Arial" w:cs="Arial"/>
                <w:sz w:val="24"/>
              </w:rPr>
              <w:t>projected</w:t>
            </w:r>
            <w:r w:rsidRPr="0000148A">
              <w:rPr>
                <w:rFonts w:ascii="Arial" w:hAnsi="Arial" w:cs="Arial"/>
                <w:sz w:val="24"/>
              </w:rPr>
              <w:t xml:space="preserve"> enrollment growth </w:t>
            </w:r>
            <w:r>
              <w:rPr>
                <w:rFonts w:ascii="Arial" w:hAnsi="Arial" w:cs="Arial"/>
                <w:sz w:val="24"/>
              </w:rPr>
              <w:t xml:space="preserve">between </w:t>
            </w:r>
            <w:r w:rsidRPr="0000148A">
              <w:rPr>
                <w:rFonts w:ascii="Arial" w:hAnsi="Arial" w:cs="Arial"/>
                <w:sz w:val="24"/>
              </w:rPr>
              <w:t>FY201</w:t>
            </w:r>
            <w:r>
              <w:rPr>
                <w:rFonts w:ascii="Arial" w:hAnsi="Arial" w:cs="Arial"/>
                <w:sz w:val="24"/>
              </w:rPr>
              <w:t>4</w:t>
            </w:r>
            <w:r w:rsidRPr="0000148A">
              <w:rPr>
                <w:rFonts w:ascii="Arial" w:hAnsi="Arial" w:cs="Arial"/>
                <w:sz w:val="24"/>
              </w:rPr>
              <w:t xml:space="preserve"> </w:t>
            </w:r>
            <w:r>
              <w:rPr>
                <w:rFonts w:ascii="Arial" w:hAnsi="Arial" w:cs="Arial"/>
                <w:sz w:val="24"/>
              </w:rPr>
              <w:t>and</w:t>
            </w:r>
            <w:r w:rsidRPr="0000148A">
              <w:rPr>
                <w:rFonts w:ascii="Arial" w:hAnsi="Arial" w:cs="Arial"/>
                <w:sz w:val="24"/>
              </w:rPr>
              <w:t xml:space="preserve"> FY201</w:t>
            </w:r>
            <w:r>
              <w:rPr>
                <w:rFonts w:ascii="Arial" w:hAnsi="Arial" w:cs="Arial"/>
                <w:sz w:val="24"/>
              </w:rPr>
              <w:t>6</w:t>
            </w:r>
            <w:r w:rsidRPr="0000148A">
              <w:rPr>
                <w:rFonts w:ascii="Arial" w:hAnsi="Arial" w:cs="Arial"/>
                <w:sz w:val="24"/>
              </w:rPr>
              <w:t>.</w:t>
            </w:r>
          </w:p>
          <w:p w:rsidR="00527270" w:rsidRPr="0000148A" w:rsidRDefault="00527270" w:rsidP="00114676">
            <w:pPr>
              <w:numPr>
                <w:ilvl w:val="0"/>
                <w:numId w:val="3"/>
              </w:numPr>
              <w:ind w:left="162" w:hanging="162"/>
              <w:rPr>
                <w:rFonts w:ascii="Arial" w:hAnsi="Arial" w:cs="Arial"/>
                <w:sz w:val="24"/>
              </w:rPr>
            </w:pPr>
            <w:r>
              <w:rPr>
                <w:rFonts w:ascii="Arial" w:hAnsi="Arial" w:cs="Arial"/>
                <w:sz w:val="24"/>
              </w:rPr>
              <w:t>F</w:t>
            </w:r>
            <w:r w:rsidRPr="0000148A">
              <w:rPr>
                <w:rFonts w:ascii="Arial" w:hAnsi="Arial" w:cs="Arial"/>
                <w:sz w:val="24"/>
              </w:rPr>
              <w:t xml:space="preserve">unding amount </w:t>
            </w:r>
            <w:r w:rsidR="00A05696" w:rsidRPr="0000148A">
              <w:rPr>
                <w:rFonts w:ascii="Arial" w:hAnsi="Arial" w:cs="Arial"/>
                <w:sz w:val="24"/>
              </w:rPr>
              <w:t xml:space="preserve">equals the </w:t>
            </w:r>
            <w:r w:rsidR="00A05696">
              <w:rPr>
                <w:rFonts w:ascii="Arial" w:hAnsi="Arial" w:cs="Arial"/>
                <w:sz w:val="24"/>
              </w:rPr>
              <w:t xml:space="preserve">proposed </w:t>
            </w:r>
            <w:r w:rsidR="00A05696" w:rsidRPr="0000148A">
              <w:rPr>
                <w:rFonts w:ascii="Arial" w:hAnsi="Arial" w:cs="Arial"/>
                <w:sz w:val="24"/>
              </w:rPr>
              <w:t>TAG amount</w:t>
            </w:r>
            <w:r w:rsidR="00A05696">
              <w:rPr>
                <w:rFonts w:ascii="Arial" w:hAnsi="Arial" w:cs="Arial"/>
                <w:sz w:val="24"/>
              </w:rPr>
              <w:t xml:space="preserve"> of </w:t>
            </w:r>
            <w:r>
              <w:rPr>
                <w:rFonts w:ascii="Arial" w:hAnsi="Arial" w:cs="Arial"/>
                <w:sz w:val="24"/>
              </w:rPr>
              <w:t>$3,300 per FTE for 4-year institutions and</w:t>
            </w:r>
            <w:r w:rsidRPr="0000148A">
              <w:rPr>
                <w:rFonts w:ascii="Arial" w:hAnsi="Arial" w:cs="Arial"/>
                <w:sz w:val="24"/>
              </w:rPr>
              <w:t xml:space="preserve"> </w:t>
            </w:r>
            <w:r>
              <w:rPr>
                <w:rFonts w:ascii="Arial" w:hAnsi="Arial" w:cs="Arial"/>
                <w:sz w:val="24"/>
              </w:rPr>
              <w:t>$2,300 per FTE for 2-year institutions.</w:t>
            </w:r>
          </w:p>
        </w:tc>
      </w:tr>
      <w:tr w:rsidR="00527270" w:rsidRPr="0000148A" w:rsidTr="001F0F1C">
        <w:tc>
          <w:tcPr>
            <w:tcW w:w="2771" w:type="dxa"/>
          </w:tcPr>
          <w:p w:rsidR="00527270" w:rsidRPr="0000148A" w:rsidRDefault="00114676" w:rsidP="0001191F">
            <w:pPr>
              <w:rPr>
                <w:rFonts w:ascii="Arial" w:hAnsi="Arial" w:cs="Arial"/>
                <w:sz w:val="24"/>
              </w:rPr>
            </w:pPr>
            <w:r>
              <w:rPr>
                <w:rFonts w:ascii="Arial" w:hAnsi="Arial" w:cs="Arial"/>
                <w:sz w:val="24"/>
              </w:rPr>
              <w:t>D</w:t>
            </w:r>
            <w:r w:rsidR="00527270" w:rsidRPr="0000148A">
              <w:rPr>
                <w:rFonts w:ascii="Arial" w:hAnsi="Arial" w:cs="Arial"/>
                <w:sz w:val="24"/>
              </w:rPr>
              <w:t>egree incentives</w:t>
            </w:r>
          </w:p>
        </w:tc>
        <w:tc>
          <w:tcPr>
            <w:tcW w:w="7309" w:type="dxa"/>
          </w:tcPr>
          <w:p w:rsidR="00527270" w:rsidRPr="0000148A" w:rsidRDefault="00527270" w:rsidP="006E3DC0">
            <w:pPr>
              <w:rPr>
                <w:rFonts w:ascii="Arial" w:hAnsi="Arial" w:cs="Arial"/>
                <w:sz w:val="24"/>
              </w:rPr>
            </w:pPr>
            <w:r w:rsidRPr="0000148A">
              <w:rPr>
                <w:rFonts w:ascii="Arial" w:hAnsi="Arial" w:cs="Arial"/>
                <w:sz w:val="24"/>
              </w:rPr>
              <w:t>$</w:t>
            </w:r>
            <w:r>
              <w:rPr>
                <w:rFonts w:ascii="Arial" w:hAnsi="Arial" w:cs="Arial"/>
                <w:sz w:val="24"/>
              </w:rPr>
              <w:t>31.5</w:t>
            </w:r>
            <w:r w:rsidRPr="0000148A">
              <w:rPr>
                <w:rFonts w:ascii="Arial" w:hAnsi="Arial" w:cs="Arial"/>
                <w:sz w:val="24"/>
              </w:rPr>
              <w:t xml:space="preserve"> million per year. </w:t>
            </w:r>
          </w:p>
          <w:p w:rsidR="00527270" w:rsidRPr="0000148A" w:rsidRDefault="00527270" w:rsidP="00EB2E54">
            <w:pPr>
              <w:rPr>
                <w:rFonts w:ascii="Arial" w:hAnsi="Arial" w:cs="Arial"/>
                <w:sz w:val="24"/>
              </w:rPr>
            </w:pPr>
          </w:p>
          <w:p w:rsidR="00527270" w:rsidRPr="0000148A" w:rsidRDefault="00527270" w:rsidP="00C17211">
            <w:pPr>
              <w:rPr>
                <w:rFonts w:ascii="Arial" w:hAnsi="Arial" w:cs="Arial"/>
                <w:sz w:val="24"/>
              </w:rPr>
            </w:pPr>
            <w:r w:rsidRPr="0000148A">
              <w:rPr>
                <w:rFonts w:ascii="Arial" w:hAnsi="Arial" w:cs="Arial"/>
                <w:sz w:val="24"/>
              </w:rPr>
              <w:t xml:space="preserve">Funding is distributed based on the HEAC workgroup model led by </w:t>
            </w:r>
            <w:r w:rsidR="00C17211">
              <w:rPr>
                <w:rFonts w:ascii="Arial" w:hAnsi="Arial" w:cs="Arial"/>
                <w:sz w:val="24"/>
              </w:rPr>
              <w:t>the college p</w:t>
            </w:r>
            <w:r w:rsidRPr="0000148A">
              <w:rPr>
                <w:rFonts w:ascii="Arial" w:hAnsi="Arial" w:cs="Arial"/>
                <w:sz w:val="24"/>
              </w:rPr>
              <w:t>resident</w:t>
            </w:r>
            <w:r w:rsidR="00C17211">
              <w:rPr>
                <w:rFonts w:ascii="Arial" w:hAnsi="Arial" w:cs="Arial"/>
                <w:sz w:val="24"/>
              </w:rPr>
              <w:t>s</w:t>
            </w:r>
            <w:r w:rsidR="00880AA7">
              <w:rPr>
                <w:rFonts w:ascii="Arial" w:hAnsi="Arial" w:cs="Arial"/>
                <w:sz w:val="24"/>
              </w:rPr>
              <w:t xml:space="preserve"> with modification </w:t>
            </w:r>
            <w:r w:rsidR="00F52447">
              <w:rPr>
                <w:rFonts w:ascii="Arial" w:hAnsi="Arial" w:cs="Arial"/>
                <w:sz w:val="24"/>
              </w:rPr>
              <w:t xml:space="preserve">by SCHEV staff. The model </w:t>
            </w:r>
            <w:r w:rsidRPr="0000148A">
              <w:rPr>
                <w:rFonts w:ascii="Arial" w:hAnsi="Arial" w:cs="Arial"/>
                <w:sz w:val="24"/>
              </w:rPr>
              <w:t xml:space="preserve">rewards institutions for their efforts </w:t>
            </w:r>
            <w:r w:rsidR="00A05696">
              <w:rPr>
                <w:rFonts w:ascii="Arial" w:hAnsi="Arial" w:cs="Arial"/>
                <w:sz w:val="24"/>
              </w:rPr>
              <w:t>to</w:t>
            </w:r>
            <w:r w:rsidR="00F52447">
              <w:rPr>
                <w:rFonts w:ascii="Arial" w:hAnsi="Arial" w:cs="Arial"/>
                <w:sz w:val="24"/>
              </w:rPr>
              <w:t xml:space="preserve"> graduat</w:t>
            </w:r>
            <w:r w:rsidR="00A05696">
              <w:rPr>
                <w:rFonts w:ascii="Arial" w:hAnsi="Arial" w:cs="Arial"/>
                <w:sz w:val="24"/>
              </w:rPr>
              <w:t>e students</w:t>
            </w:r>
            <w:r w:rsidR="00F52447">
              <w:rPr>
                <w:rFonts w:ascii="Arial" w:hAnsi="Arial" w:cs="Arial"/>
                <w:sz w:val="24"/>
              </w:rPr>
              <w:t xml:space="preserve">, </w:t>
            </w:r>
            <w:r w:rsidRPr="0000148A">
              <w:rPr>
                <w:rFonts w:ascii="Arial" w:hAnsi="Arial" w:cs="Arial"/>
                <w:sz w:val="24"/>
              </w:rPr>
              <w:t xml:space="preserve">especially </w:t>
            </w:r>
            <w:r w:rsidR="00A05696">
              <w:rPr>
                <w:rFonts w:ascii="Arial" w:hAnsi="Arial" w:cs="Arial"/>
                <w:sz w:val="24"/>
              </w:rPr>
              <w:t xml:space="preserve">graduate </w:t>
            </w:r>
            <w:r w:rsidRPr="0000148A">
              <w:rPr>
                <w:rFonts w:ascii="Arial" w:hAnsi="Arial" w:cs="Arial"/>
                <w:sz w:val="24"/>
              </w:rPr>
              <w:t xml:space="preserve">students </w:t>
            </w:r>
            <w:r w:rsidR="00F52447">
              <w:rPr>
                <w:rFonts w:ascii="Arial" w:hAnsi="Arial" w:cs="Arial"/>
                <w:sz w:val="24"/>
              </w:rPr>
              <w:t>in</w:t>
            </w:r>
            <w:r w:rsidRPr="0000148A">
              <w:rPr>
                <w:rFonts w:ascii="Arial" w:hAnsi="Arial" w:cs="Arial"/>
                <w:sz w:val="24"/>
              </w:rPr>
              <w:t xml:space="preserve"> STEM majors</w:t>
            </w:r>
            <w:r w:rsidR="00F52447">
              <w:rPr>
                <w:rFonts w:ascii="Arial" w:hAnsi="Arial" w:cs="Arial"/>
                <w:sz w:val="24"/>
              </w:rPr>
              <w:t xml:space="preserve"> and i</w:t>
            </w:r>
            <w:r w:rsidRPr="0000148A">
              <w:rPr>
                <w:rFonts w:ascii="Arial" w:hAnsi="Arial" w:cs="Arial"/>
                <w:sz w:val="24"/>
              </w:rPr>
              <w:t>n underrepresented group</w:t>
            </w:r>
            <w:r w:rsidR="00F52447">
              <w:rPr>
                <w:rFonts w:ascii="Arial" w:hAnsi="Arial" w:cs="Arial"/>
                <w:sz w:val="24"/>
              </w:rPr>
              <w:t>s</w:t>
            </w:r>
            <w:r w:rsidRPr="0000148A">
              <w:rPr>
                <w:rFonts w:ascii="Arial" w:hAnsi="Arial" w:cs="Arial"/>
                <w:sz w:val="24"/>
              </w:rPr>
              <w:t xml:space="preserve">. </w:t>
            </w:r>
          </w:p>
        </w:tc>
      </w:tr>
      <w:tr w:rsidR="00527270" w:rsidRPr="0000148A" w:rsidTr="001F0F1C">
        <w:tc>
          <w:tcPr>
            <w:tcW w:w="2771" w:type="dxa"/>
          </w:tcPr>
          <w:p w:rsidR="00527270" w:rsidRPr="0000148A" w:rsidRDefault="00880AA7" w:rsidP="00D23D0D">
            <w:pPr>
              <w:rPr>
                <w:rFonts w:ascii="Arial" w:hAnsi="Arial" w:cs="Arial"/>
                <w:sz w:val="24"/>
              </w:rPr>
            </w:pPr>
            <w:r>
              <w:rPr>
                <w:rFonts w:ascii="Arial" w:hAnsi="Arial" w:cs="Arial"/>
                <w:sz w:val="24"/>
              </w:rPr>
              <w:t>Performance-based initiatives</w:t>
            </w:r>
          </w:p>
        </w:tc>
        <w:tc>
          <w:tcPr>
            <w:tcW w:w="7309" w:type="dxa"/>
          </w:tcPr>
          <w:p w:rsidR="00527270" w:rsidRDefault="00527270" w:rsidP="0001191F">
            <w:pPr>
              <w:rPr>
                <w:rFonts w:ascii="Arial" w:hAnsi="Arial" w:cs="Arial"/>
                <w:sz w:val="24"/>
              </w:rPr>
            </w:pPr>
            <w:r>
              <w:rPr>
                <w:rFonts w:ascii="Arial" w:hAnsi="Arial" w:cs="Arial"/>
                <w:sz w:val="24"/>
              </w:rPr>
              <w:t>$</w:t>
            </w:r>
            <w:r w:rsidR="00880AA7">
              <w:rPr>
                <w:rFonts w:ascii="Arial" w:hAnsi="Arial" w:cs="Arial"/>
                <w:sz w:val="24"/>
              </w:rPr>
              <w:t>3,425,181 in FY2015 and $3,724,891 in FY2016</w:t>
            </w:r>
            <w:r>
              <w:rPr>
                <w:rFonts w:ascii="Arial" w:hAnsi="Arial" w:cs="Arial"/>
                <w:sz w:val="24"/>
              </w:rPr>
              <w:t>.</w:t>
            </w:r>
          </w:p>
          <w:p w:rsidR="00527270" w:rsidRDefault="00527270" w:rsidP="0001191F">
            <w:pPr>
              <w:rPr>
                <w:rFonts w:ascii="Arial" w:hAnsi="Arial" w:cs="Arial"/>
                <w:sz w:val="24"/>
              </w:rPr>
            </w:pPr>
          </w:p>
          <w:p w:rsidR="00527270" w:rsidRPr="0000148A" w:rsidRDefault="00880AA7" w:rsidP="00A05696">
            <w:pPr>
              <w:rPr>
                <w:rFonts w:ascii="Arial" w:hAnsi="Arial" w:cs="Arial"/>
                <w:sz w:val="24"/>
              </w:rPr>
            </w:pPr>
            <w:r>
              <w:rPr>
                <w:rFonts w:ascii="Arial" w:hAnsi="Arial" w:cs="Arial"/>
                <w:sz w:val="24"/>
              </w:rPr>
              <w:t>Funding</w:t>
            </w:r>
            <w:r w:rsidR="00114676">
              <w:rPr>
                <w:rFonts w:ascii="Arial" w:hAnsi="Arial" w:cs="Arial"/>
                <w:sz w:val="24"/>
              </w:rPr>
              <w:t xml:space="preserve"> items</w:t>
            </w:r>
            <w:r>
              <w:rPr>
                <w:rFonts w:ascii="Arial" w:hAnsi="Arial" w:cs="Arial"/>
                <w:sz w:val="24"/>
              </w:rPr>
              <w:t xml:space="preserve"> </w:t>
            </w:r>
            <w:r w:rsidR="00A05696">
              <w:rPr>
                <w:rFonts w:ascii="Arial" w:hAnsi="Arial" w:cs="Arial"/>
                <w:sz w:val="24"/>
              </w:rPr>
              <w:t>came from</w:t>
            </w:r>
            <w:r>
              <w:rPr>
                <w:rFonts w:ascii="Arial" w:hAnsi="Arial" w:cs="Arial"/>
                <w:sz w:val="24"/>
              </w:rPr>
              <w:t xml:space="preserve"> institutions</w:t>
            </w:r>
            <w:r w:rsidR="00A05696">
              <w:rPr>
                <w:rFonts w:ascii="Arial" w:hAnsi="Arial" w:cs="Arial"/>
                <w:sz w:val="24"/>
              </w:rPr>
              <w:t>’ budget requests which are based on the</w:t>
            </w:r>
            <w:r w:rsidR="00114676">
              <w:rPr>
                <w:rFonts w:ascii="Arial" w:hAnsi="Arial" w:cs="Arial"/>
                <w:sz w:val="24"/>
              </w:rPr>
              <w:t>ir</w:t>
            </w:r>
            <w:r>
              <w:rPr>
                <w:rFonts w:ascii="Arial" w:hAnsi="Arial" w:cs="Arial"/>
                <w:sz w:val="24"/>
              </w:rPr>
              <w:t xml:space="preserve"> 2013 six-year plans</w:t>
            </w:r>
            <w:r w:rsidR="00527270">
              <w:rPr>
                <w:rFonts w:ascii="Arial" w:hAnsi="Arial" w:cs="Arial"/>
                <w:sz w:val="24"/>
              </w:rPr>
              <w:t>.</w:t>
            </w:r>
          </w:p>
        </w:tc>
      </w:tr>
      <w:tr w:rsidR="0025296E" w:rsidRPr="0000148A" w:rsidTr="00880AA7">
        <w:tc>
          <w:tcPr>
            <w:tcW w:w="10080" w:type="dxa"/>
            <w:gridSpan w:val="2"/>
          </w:tcPr>
          <w:p w:rsidR="0025296E" w:rsidRPr="00880AA7" w:rsidRDefault="0025296E" w:rsidP="00EA564E">
            <w:pPr>
              <w:rPr>
                <w:rFonts w:ascii="Arial" w:hAnsi="Arial" w:cs="Arial"/>
                <w:b/>
                <w:i/>
                <w:sz w:val="24"/>
              </w:rPr>
            </w:pPr>
          </w:p>
        </w:tc>
      </w:tr>
      <w:tr w:rsidR="00880AA7" w:rsidRPr="0000148A" w:rsidTr="00880AA7">
        <w:tc>
          <w:tcPr>
            <w:tcW w:w="10080" w:type="dxa"/>
            <w:gridSpan w:val="2"/>
          </w:tcPr>
          <w:p w:rsidR="00880AA7" w:rsidRPr="00880AA7" w:rsidRDefault="00880AA7" w:rsidP="00EA564E">
            <w:pPr>
              <w:rPr>
                <w:rFonts w:ascii="Arial" w:hAnsi="Arial" w:cs="Arial"/>
                <w:b/>
                <w:i/>
                <w:sz w:val="24"/>
              </w:rPr>
            </w:pPr>
            <w:r w:rsidRPr="00880AA7">
              <w:rPr>
                <w:rFonts w:ascii="Arial" w:hAnsi="Arial" w:cs="Arial"/>
                <w:b/>
                <w:i/>
                <w:sz w:val="24"/>
              </w:rPr>
              <w:t>(B) Other Operating Budget</w:t>
            </w:r>
            <w:r w:rsidR="00EA564E">
              <w:rPr>
                <w:rFonts w:ascii="Arial" w:hAnsi="Arial" w:cs="Arial"/>
                <w:b/>
                <w:i/>
                <w:sz w:val="24"/>
              </w:rPr>
              <w:t xml:space="preserve"> </w:t>
            </w:r>
            <w:r w:rsidRPr="00880AA7">
              <w:rPr>
                <w:rFonts w:ascii="Arial" w:hAnsi="Arial" w:cs="Arial"/>
                <w:b/>
                <w:i/>
                <w:sz w:val="24"/>
              </w:rPr>
              <w:t>for</w:t>
            </w:r>
            <w:r w:rsidR="00EA564E">
              <w:rPr>
                <w:rFonts w:ascii="Arial" w:hAnsi="Arial" w:cs="Arial"/>
                <w:b/>
                <w:i/>
                <w:sz w:val="24"/>
              </w:rPr>
              <w:t xml:space="preserve"> </w:t>
            </w:r>
            <w:r w:rsidRPr="00880AA7">
              <w:rPr>
                <w:rFonts w:ascii="Arial" w:hAnsi="Arial" w:cs="Arial"/>
                <w:b/>
                <w:i/>
                <w:sz w:val="24"/>
              </w:rPr>
              <w:t>All Institutions</w:t>
            </w:r>
          </w:p>
        </w:tc>
      </w:tr>
      <w:tr w:rsidR="00527270" w:rsidRPr="0000148A" w:rsidTr="001F0F1C">
        <w:tc>
          <w:tcPr>
            <w:tcW w:w="2771" w:type="dxa"/>
          </w:tcPr>
          <w:p w:rsidR="00527270" w:rsidRPr="0000148A" w:rsidRDefault="00527270" w:rsidP="00436D4F">
            <w:pPr>
              <w:rPr>
                <w:rFonts w:ascii="Arial" w:hAnsi="Arial" w:cs="Arial"/>
                <w:sz w:val="24"/>
              </w:rPr>
            </w:pPr>
            <w:r w:rsidRPr="0000148A">
              <w:rPr>
                <w:rFonts w:ascii="Arial" w:hAnsi="Arial" w:cs="Arial"/>
                <w:sz w:val="24"/>
              </w:rPr>
              <w:t>HEETF</w:t>
            </w:r>
          </w:p>
        </w:tc>
        <w:tc>
          <w:tcPr>
            <w:tcW w:w="7309" w:type="dxa"/>
          </w:tcPr>
          <w:p w:rsidR="00527270" w:rsidRDefault="009F0247" w:rsidP="00AE59FF">
            <w:pPr>
              <w:pStyle w:val="ListParagraph"/>
              <w:numPr>
                <w:ilvl w:val="0"/>
                <w:numId w:val="22"/>
              </w:numPr>
              <w:ind w:left="181" w:hanging="180"/>
              <w:rPr>
                <w:rFonts w:ascii="Arial" w:hAnsi="Arial" w:cs="Arial"/>
                <w:sz w:val="24"/>
              </w:rPr>
            </w:pPr>
            <w:r w:rsidRPr="00AE59FF">
              <w:rPr>
                <w:rFonts w:ascii="Arial" w:hAnsi="Arial" w:cs="Arial"/>
                <w:sz w:val="24"/>
              </w:rPr>
              <w:t>Provide the same amount</w:t>
            </w:r>
            <w:r w:rsidR="0061758E" w:rsidRPr="00AE59FF">
              <w:rPr>
                <w:rFonts w:ascii="Arial" w:hAnsi="Arial" w:cs="Arial"/>
                <w:sz w:val="24"/>
              </w:rPr>
              <w:t xml:space="preserve"> of annual allocation as the FY2014 </w:t>
            </w:r>
            <w:r w:rsidR="0061758E" w:rsidRPr="00AE59FF">
              <w:rPr>
                <w:rFonts w:ascii="Arial" w:hAnsi="Arial" w:cs="Arial"/>
                <w:sz w:val="24"/>
              </w:rPr>
              <w:lastRenderedPageBreak/>
              <w:t xml:space="preserve">level </w:t>
            </w:r>
            <w:r w:rsidRPr="00AE59FF">
              <w:rPr>
                <w:rFonts w:ascii="Arial" w:hAnsi="Arial" w:cs="Arial"/>
                <w:sz w:val="24"/>
              </w:rPr>
              <w:t xml:space="preserve">($39.2 million) </w:t>
            </w:r>
            <w:r w:rsidR="00527270" w:rsidRPr="00AE59FF">
              <w:rPr>
                <w:rFonts w:ascii="Arial" w:hAnsi="Arial" w:cs="Arial"/>
                <w:sz w:val="24"/>
              </w:rPr>
              <w:t xml:space="preserve">to support equipment replacement, including computers for instruction and specialized research equipment. Debt service </w:t>
            </w:r>
            <w:r w:rsidR="0061758E" w:rsidRPr="00AE59FF">
              <w:rPr>
                <w:rFonts w:ascii="Arial" w:hAnsi="Arial" w:cs="Arial"/>
                <w:sz w:val="24"/>
              </w:rPr>
              <w:t xml:space="preserve">is estimated </w:t>
            </w:r>
            <w:r w:rsidRPr="00AE59FF">
              <w:rPr>
                <w:rFonts w:ascii="Arial" w:hAnsi="Arial" w:cs="Arial"/>
                <w:sz w:val="24"/>
              </w:rPr>
              <w:t>at</w:t>
            </w:r>
            <w:r w:rsidR="00527270" w:rsidRPr="00AE59FF">
              <w:rPr>
                <w:rFonts w:ascii="Arial" w:hAnsi="Arial" w:cs="Arial"/>
                <w:sz w:val="24"/>
              </w:rPr>
              <w:t xml:space="preserve"> $</w:t>
            </w:r>
            <w:r w:rsidR="0061758E" w:rsidRPr="00AE59FF">
              <w:rPr>
                <w:rFonts w:ascii="Arial" w:hAnsi="Arial" w:cs="Arial"/>
                <w:sz w:val="24"/>
              </w:rPr>
              <w:t>10.2</w:t>
            </w:r>
            <w:r w:rsidR="00527270" w:rsidRPr="00AE59FF">
              <w:rPr>
                <w:rFonts w:ascii="Arial" w:hAnsi="Arial" w:cs="Arial"/>
                <w:sz w:val="24"/>
              </w:rPr>
              <w:t xml:space="preserve"> million in FY201</w:t>
            </w:r>
            <w:r w:rsidR="00880AA7" w:rsidRPr="00AE59FF">
              <w:rPr>
                <w:rFonts w:ascii="Arial" w:hAnsi="Arial" w:cs="Arial"/>
                <w:sz w:val="24"/>
              </w:rPr>
              <w:t>6</w:t>
            </w:r>
            <w:r w:rsidR="00527270" w:rsidRPr="00AE59FF">
              <w:rPr>
                <w:rFonts w:ascii="Arial" w:hAnsi="Arial" w:cs="Arial"/>
                <w:sz w:val="24"/>
              </w:rPr>
              <w:t>.</w:t>
            </w:r>
          </w:p>
          <w:p w:rsidR="003173E3" w:rsidRPr="003173E3" w:rsidRDefault="003173E3" w:rsidP="003173E3">
            <w:pPr>
              <w:rPr>
                <w:rFonts w:ascii="Arial" w:hAnsi="Arial" w:cs="Arial"/>
                <w:sz w:val="24"/>
              </w:rPr>
            </w:pPr>
          </w:p>
          <w:p w:rsidR="00AE59FF" w:rsidRPr="00AE59FF" w:rsidRDefault="00AE59FF" w:rsidP="003173E3">
            <w:pPr>
              <w:pStyle w:val="ListParagraph"/>
              <w:numPr>
                <w:ilvl w:val="0"/>
                <w:numId w:val="22"/>
              </w:numPr>
              <w:ind w:left="181" w:hanging="180"/>
              <w:rPr>
                <w:rFonts w:ascii="Arial" w:hAnsi="Arial" w:cs="Arial"/>
                <w:sz w:val="24"/>
              </w:rPr>
            </w:pPr>
            <w:r>
              <w:rPr>
                <w:rFonts w:ascii="Arial" w:hAnsi="Arial" w:cs="Arial"/>
                <w:sz w:val="24"/>
              </w:rPr>
              <w:t xml:space="preserve">Institutions may not get the reimbursement of their FY2014 </w:t>
            </w:r>
            <w:r w:rsidR="003173E3">
              <w:rPr>
                <w:rFonts w:ascii="Arial" w:hAnsi="Arial" w:cs="Arial"/>
                <w:sz w:val="24"/>
              </w:rPr>
              <w:t>expenditures</w:t>
            </w:r>
            <w:r>
              <w:rPr>
                <w:rFonts w:ascii="Arial" w:hAnsi="Arial" w:cs="Arial"/>
                <w:sz w:val="24"/>
              </w:rPr>
              <w:t xml:space="preserve"> till the first quarter of FY2015, depending on final 2014 General Assembly budget actions.</w:t>
            </w:r>
          </w:p>
        </w:tc>
      </w:tr>
      <w:tr w:rsidR="00527270" w:rsidRPr="0000148A" w:rsidTr="001F0F1C">
        <w:tc>
          <w:tcPr>
            <w:tcW w:w="2771" w:type="dxa"/>
          </w:tcPr>
          <w:p w:rsidR="00527270" w:rsidRPr="0000148A" w:rsidRDefault="00527270" w:rsidP="005D21EA">
            <w:pPr>
              <w:rPr>
                <w:rFonts w:ascii="Arial" w:hAnsi="Arial" w:cs="Arial"/>
                <w:sz w:val="24"/>
              </w:rPr>
            </w:pPr>
            <w:r w:rsidRPr="0000148A">
              <w:rPr>
                <w:rFonts w:ascii="Arial" w:hAnsi="Arial" w:cs="Arial"/>
                <w:sz w:val="24"/>
              </w:rPr>
              <w:lastRenderedPageBreak/>
              <w:t>V</w:t>
            </w:r>
            <w:r>
              <w:rPr>
                <w:rFonts w:ascii="Arial" w:hAnsi="Arial" w:cs="Arial"/>
                <w:sz w:val="24"/>
              </w:rPr>
              <w:t>irtual Library of Virginia (VIVA)</w:t>
            </w:r>
          </w:p>
        </w:tc>
        <w:tc>
          <w:tcPr>
            <w:tcW w:w="7309" w:type="dxa"/>
          </w:tcPr>
          <w:p w:rsidR="00527270" w:rsidRPr="0000148A" w:rsidRDefault="00527270" w:rsidP="00880AA7">
            <w:pPr>
              <w:rPr>
                <w:rFonts w:ascii="Arial" w:hAnsi="Arial" w:cs="Arial"/>
                <w:sz w:val="24"/>
              </w:rPr>
            </w:pPr>
            <w:r w:rsidRPr="0000148A">
              <w:rPr>
                <w:rFonts w:ascii="Arial" w:hAnsi="Arial" w:cs="Arial"/>
                <w:sz w:val="24"/>
              </w:rPr>
              <w:t>$</w:t>
            </w:r>
            <w:r w:rsidR="00880AA7">
              <w:rPr>
                <w:rFonts w:ascii="Arial" w:hAnsi="Arial" w:cs="Arial"/>
                <w:sz w:val="24"/>
              </w:rPr>
              <w:t>1,474,764 in FY2015 and $1,645,249 in FY2016</w:t>
            </w:r>
            <w:r>
              <w:rPr>
                <w:rFonts w:ascii="Arial" w:hAnsi="Arial" w:cs="Arial"/>
                <w:sz w:val="24"/>
              </w:rPr>
              <w:t>.</w:t>
            </w:r>
          </w:p>
        </w:tc>
      </w:tr>
      <w:tr w:rsidR="00527270" w:rsidRPr="0000148A" w:rsidTr="001F0F1C">
        <w:tc>
          <w:tcPr>
            <w:tcW w:w="2771" w:type="dxa"/>
          </w:tcPr>
          <w:p w:rsidR="00527270" w:rsidRPr="0000148A" w:rsidRDefault="00527270" w:rsidP="0000148A">
            <w:pPr>
              <w:rPr>
                <w:rFonts w:ascii="Arial" w:hAnsi="Arial" w:cs="Arial"/>
                <w:sz w:val="24"/>
              </w:rPr>
            </w:pPr>
            <w:r w:rsidRPr="0000148A">
              <w:rPr>
                <w:rFonts w:ascii="Arial" w:hAnsi="Arial" w:cs="Arial"/>
                <w:sz w:val="24"/>
              </w:rPr>
              <w:t>Tuition Assistance Grant (TAG)</w:t>
            </w:r>
          </w:p>
        </w:tc>
        <w:tc>
          <w:tcPr>
            <w:tcW w:w="7309" w:type="dxa"/>
          </w:tcPr>
          <w:p w:rsidR="00527270" w:rsidRPr="0000148A" w:rsidRDefault="00527270" w:rsidP="009E249B">
            <w:pPr>
              <w:rPr>
                <w:rFonts w:ascii="Arial" w:hAnsi="Arial" w:cs="Arial"/>
                <w:sz w:val="24"/>
              </w:rPr>
            </w:pPr>
            <w:r w:rsidRPr="0000148A">
              <w:rPr>
                <w:rFonts w:ascii="Arial" w:hAnsi="Arial" w:cs="Arial"/>
                <w:sz w:val="24"/>
              </w:rPr>
              <w:t>$</w:t>
            </w:r>
            <w:r w:rsidR="00880AA7">
              <w:rPr>
                <w:rFonts w:ascii="Arial" w:hAnsi="Arial" w:cs="Arial"/>
                <w:sz w:val="24"/>
              </w:rPr>
              <w:t>3.1</w:t>
            </w:r>
            <w:r w:rsidRPr="0000148A">
              <w:rPr>
                <w:rFonts w:ascii="Arial" w:hAnsi="Arial" w:cs="Arial"/>
                <w:sz w:val="24"/>
              </w:rPr>
              <w:t xml:space="preserve"> million per year to increase the award amount from $</w:t>
            </w:r>
            <w:r w:rsidR="00880AA7">
              <w:rPr>
                <w:rFonts w:ascii="Arial" w:hAnsi="Arial" w:cs="Arial"/>
                <w:sz w:val="24"/>
              </w:rPr>
              <w:t>3</w:t>
            </w:r>
            <w:r w:rsidRPr="0000148A">
              <w:rPr>
                <w:rFonts w:ascii="Arial" w:hAnsi="Arial" w:cs="Arial"/>
                <w:sz w:val="24"/>
              </w:rPr>
              <w:t>,</w:t>
            </w:r>
            <w:r w:rsidR="00880AA7">
              <w:rPr>
                <w:rFonts w:ascii="Arial" w:hAnsi="Arial" w:cs="Arial"/>
                <w:sz w:val="24"/>
              </w:rPr>
              <w:t>1</w:t>
            </w:r>
            <w:r w:rsidR="00EA564E">
              <w:rPr>
                <w:rFonts w:ascii="Arial" w:hAnsi="Arial" w:cs="Arial"/>
                <w:sz w:val="24"/>
              </w:rPr>
              <w:t>0</w:t>
            </w:r>
            <w:r w:rsidRPr="0000148A">
              <w:rPr>
                <w:rFonts w:ascii="Arial" w:hAnsi="Arial" w:cs="Arial"/>
                <w:sz w:val="24"/>
              </w:rPr>
              <w:t xml:space="preserve">0 </w:t>
            </w:r>
            <w:r w:rsidR="009E249B">
              <w:rPr>
                <w:rFonts w:ascii="Arial" w:hAnsi="Arial" w:cs="Arial"/>
                <w:sz w:val="24"/>
              </w:rPr>
              <w:t xml:space="preserve">up </w:t>
            </w:r>
            <w:r w:rsidRPr="0000148A">
              <w:rPr>
                <w:rFonts w:ascii="Arial" w:hAnsi="Arial" w:cs="Arial"/>
                <w:sz w:val="24"/>
              </w:rPr>
              <w:t>to $</w:t>
            </w:r>
            <w:r w:rsidR="00EA564E">
              <w:rPr>
                <w:rFonts w:ascii="Arial" w:hAnsi="Arial" w:cs="Arial"/>
                <w:sz w:val="24"/>
              </w:rPr>
              <w:t>3,300 in FY2016</w:t>
            </w:r>
            <w:r w:rsidRPr="0000148A">
              <w:rPr>
                <w:rFonts w:ascii="Arial" w:hAnsi="Arial" w:cs="Arial"/>
                <w:sz w:val="24"/>
              </w:rPr>
              <w:t xml:space="preserve">. </w:t>
            </w:r>
          </w:p>
          <w:p w:rsidR="00527270" w:rsidRPr="0000148A" w:rsidRDefault="00527270" w:rsidP="0000148A">
            <w:pPr>
              <w:rPr>
                <w:rFonts w:ascii="Arial" w:hAnsi="Arial" w:cs="Arial"/>
                <w:sz w:val="24"/>
              </w:rPr>
            </w:pPr>
          </w:p>
        </w:tc>
      </w:tr>
      <w:tr w:rsidR="00527270" w:rsidRPr="0000148A" w:rsidTr="001F0F1C">
        <w:trPr>
          <w:trHeight w:val="1313"/>
        </w:trPr>
        <w:tc>
          <w:tcPr>
            <w:tcW w:w="2771" w:type="dxa"/>
          </w:tcPr>
          <w:p w:rsidR="00527270" w:rsidRPr="0000148A" w:rsidRDefault="00A05696" w:rsidP="00C45DB5">
            <w:pPr>
              <w:rPr>
                <w:rFonts w:ascii="Arial" w:hAnsi="Arial" w:cs="Arial"/>
                <w:sz w:val="24"/>
              </w:rPr>
            </w:pPr>
            <w:r>
              <w:rPr>
                <w:rFonts w:ascii="Arial" w:hAnsi="Arial" w:cs="Arial"/>
                <w:sz w:val="24"/>
              </w:rPr>
              <w:t>Research initiatives</w:t>
            </w:r>
            <w:r w:rsidR="00527270">
              <w:rPr>
                <w:rFonts w:ascii="Arial" w:hAnsi="Arial" w:cs="Arial"/>
                <w:sz w:val="24"/>
              </w:rPr>
              <w:t xml:space="preserve"> </w:t>
            </w:r>
          </w:p>
        </w:tc>
        <w:tc>
          <w:tcPr>
            <w:tcW w:w="7309" w:type="dxa"/>
          </w:tcPr>
          <w:p w:rsidR="00527270" w:rsidRDefault="00527270" w:rsidP="00D23D0D">
            <w:pPr>
              <w:ind w:left="1"/>
              <w:rPr>
                <w:rFonts w:ascii="Arial" w:hAnsi="Arial" w:cs="Arial"/>
                <w:sz w:val="24"/>
              </w:rPr>
            </w:pPr>
            <w:r>
              <w:rPr>
                <w:rFonts w:ascii="Arial" w:hAnsi="Arial" w:cs="Arial"/>
                <w:sz w:val="24"/>
              </w:rPr>
              <w:t>$</w:t>
            </w:r>
            <w:r w:rsidR="00A05696">
              <w:rPr>
                <w:rFonts w:ascii="Arial" w:hAnsi="Arial" w:cs="Arial"/>
                <w:sz w:val="24"/>
              </w:rPr>
              <w:t>7,275,000 per year</w:t>
            </w:r>
            <w:r>
              <w:rPr>
                <w:rFonts w:ascii="Arial" w:hAnsi="Arial" w:cs="Arial"/>
                <w:sz w:val="24"/>
              </w:rPr>
              <w:t>, of which</w:t>
            </w:r>
          </w:p>
          <w:p w:rsidR="00527270" w:rsidRDefault="00527270" w:rsidP="00D23D0D">
            <w:pPr>
              <w:ind w:left="1"/>
              <w:rPr>
                <w:rFonts w:ascii="Arial" w:hAnsi="Arial" w:cs="Arial"/>
                <w:sz w:val="24"/>
              </w:rPr>
            </w:pPr>
          </w:p>
          <w:p w:rsidR="00527270" w:rsidRDefault="00A05696" w:rsidP="00A05696">
            <w:pPr>
              <w:ind w:left="721" w:hanging="720"/>
              <w:rPr>
                <w:rFonts w:ascii="Arial" w:hAnsi="Arial" w:cs="Arial"/>
                <w:sz w:val="24"/>
              </w:rPr>
            </w:pPr>
            <w:r>
              <w:rPr>
                <w:rFonts w:ascii="Arial" w:hAnsi="Arial" w:cs="Arial"/>
                <w:sz w:val="24"/>
              </w:rPr>
              <w:t>GMU: $500,000 per year for applied research in simulation modeling and gaming</w:t>
            </w:r>
          </w:p>
          <w:p w:rsidR="00A05696" w:rsidRDefault="00A05696" w:rsidP="00A05696">
            <w:pPr>
              <w:ind w:left="721" w:hanging="720"/>
              <w:rPr>
                <w:rFonts w:ascii="Arial" w:hAnsi="Arial" w:cs="Arial"/>
                <w:sz w:val="24"/>
              </w:rPr>
            </w:pPr>
            <w:r>
              <w:rPr>
                <w:rFonts w:ascii="Arial" w:hAnsi="Arial" w:cs="Arial"/>
                <w:sz w:val="24"/>
              </w:rPr>
              <w:t xml:space="preserve">ODU: $975,000 per year for Center for </w:t>
            </w:r>
            <w:proofErr w:type="spellStart"/>
            <w:r>
              <w:rPr>
                <w:rFonts w:ascii="Arial" w:hAnsi="Arial" w:cs="Arial"/>
                <w:sz w:val="24"/>
              </w:rPr>
              <w:t>Bioelectrics</w:t>
            </w:r>
            <w:proofErr w:type="spellEnd"/>
          </w:p>
          <w:p w:rsidR="00A05696" w:rsidRDefault="00A05696" w:rsidP="00A05696">
            <w:pPr>
              <w:ind w:left="721" w:hanging="720"/>
              <w:rPr>
                <w:rFonts w:ascii="Arial" w:hAnsi="Arial" w:cs="Arial"/>
                <w:sz w:val="24"/>
              </w:rPr>
            </w:pPr>
            <w:r>
              <w:rPr>
                <w:rFonts w:ascii="Arial" w:hAnsi="Arial" w:cs="Arial"/>
                <w:sz w:val="24"/>
              </w:rPr>
              <w:t xml:space="preserve">UVA: </w:t>
            </w:r>
            <w:r w:rsidR="00FB27E3">
              <w:rPr>
                <w:rFonts w:ascii="Arial" w:hAnsi="Arial" w:cs="Arial"/>
                <w:sz w:val="24"/>
              </w:rPr>
              <w:t xml:space="preserve"> </w:t>
            </w:r>
            <w:r>
              <w:rPr>
                <w:rFonts w:ascii="Arial" w:hAnsi="Arial" w:cs="Arial"/>
                <w:sz w:val="24"/>
              </w:rPr>
              <w:t>$1 million per year for cancer research</w:t>
            </w:r>
          </w:p>
          <w:p w:rsidR="00A05696" w:rsidRDefault="00A05696" w:rsidP="00A05696">
            <w:pPr>
              <w:ind w:left="721" w:hanging="720"/>
              <w:rPr>
                <w:rFonts w:ascii="Arial" w:hAnsi="Arial" w:cs="Arial"/>
                <w:sz w:val="24"/>
              </w:rPr>
            </w:pPr>
            <w:r>
              <w:rPr>
                <w:rFonts w:ascii="Arial" w:hAnsi="Arial" w:cs="Arial"/>
                <w:sz w:val="24"/>
              </w:rPr>
              <w:t xml:space="preserve">UVA: </w:t>
            </w:r>
            <w:r w:rsidR="00FB27E3">
              <w:rPr>
                <w:rFonts w:ascii="Arial" w:hAnsi="Arial" w:cs="Arial"/>
                <w:sz w:val="24"/>
              </w:rPr>
              <w:t xml:space="preserve"> </w:t>
            </w:r>
            <w:r>
              <w:rPr>
                <w:rFonts w:ascii="Arial" w:hAnsi="Arial" w:cs="Arial"/>
                <w:sz w:val="24"/>
              </w:rPr>
              <w:t>$1 million per year for Ultrasound Center of Excellence</w:t>
            </w:r>
          </w:p>
          <w:p w:rsidR="00A05696" w:rsidRDefault="00A05696" w:rsidP="00A05696">
            <w:pPr>
              <w:ind w:left="721" w:hanging="720"/>
              <w:rPr>
                <w:rFonts w:ascii="Arial" w:hAnsi="Arial" w:cs="Arial"/>
                <w:sz w:val="24"/>
              </w:rPr>
            </w:pPr>
            <w:r>
              <w:rPr>
                <w:rFonts w:ascii="Arial" w:hAnsi="Arial" w:cs="Arial"/>
                <w:sz w:val="24"/>
              </w:rPr>
              <w:t>VCU</w:t>
            </w:r>
            <w:r w:rsidR="00F76E81">
              <w:rPr>
                <w:rFonts w:ascii="Arial" w:hAnsi="Arial" w:cs="Arial"/>
                <w:sz w:val="24"/>
              </w:rPr>
              <w:t xml:space="preserve">: </w:t>
            </w:r>
            <w:r w:rsidR="00FB27E3">
              <w:rPr>
                <w:rFonts w:ascii="Arial" w:hAnsi="Arial" w:cs="Arial"/>
                <w:sz w:val="24"/>
              </w:rPr>
              <w:t xml:space="preserve"> </w:t>
            </w:r>
            <w:r w:rsidR="00F76E81">
              <w:rPr>
                <w:rFonts w:ascii="Arial" w:hAnsi="Arial" w:cs="Arial"/>
                <w:sz w:val="24"/>
              </w:rPr>
              <w:t>$1 million per year for cancer research</w:t>
            </w:r>
          </w:p>
          <w:p w:rsidR="00F76E81" w:rsidRDefault="00F76E81" w:rsidP="00A05696">
            <w:pPr>
              <w:ind w:left="721" w:hanging="720"/>
              <w:rPr>
                <w:rFonts w:ascii="Arial" w:hAnsi="Arial" w:cs="Arial"/>
                <w:sz w:val="24"/>
              </w:rPr>
            </w:pPr>
            <w:r>
              <w:rPr>
                <w:rFonts w:ascii="Arial" w:hAnsi="Arial" w:cs="Arial"/>
                <w:sz w:val="24"/>
              </w:rPr>
              <w:t xml:space="preserve">VCU: </w:t>
            </w:r>
            <w:r w:rsidR="00FB27E3">
              <w:rPr>
                <w:rFonts w:ascii="Arial" w:hAnsi="Arial" w:cs="Arial"/>
                <w:sz w:val="24"/>
              </w:rPr>
              <w:t xml:space="preserve"> </w:t>
            </w:r>
            <w:r>
              <w:rPr>
                <w:rFonts w:ascii="Arial" w:hAnsi="Arial" w:cs="Arial"/>
                <w:sz w:val="24"/>
              </w:rPr>
              <w:t>$650,000 per year for Parkinson’s Disease Center</w:t>
            </w:r>
          </w:p>
          <w:p w:rsidR="00F76E81" w:rsidRDefault="00F76E81" w:rsidP="00FB27E3">
            <w:pPr>
              <w:tabs>
                <w:tab w:val="left" w:pos="721"/>
              </w:tabs>
              <w:ind w:left="721" w:hanging="720"/>
              <w:rPr>
                <w:rFonts w:ascii="Arial" w:hAnsi="Arial" w:cs="Arial"/>
                <w:sz w:val="24"/>
              </w:rPr>
            </w:pPr>
            <w:r>
              <w:rPr>
                <w:rFonts w:ascii="Arial" w:hAnsi="Arial" w:cs="Arial"/>
                <w:sz w:val="24"/>
              </w:rPr>
              <w:t xml:space="preserve">VT: </w:t>
            </w:r>
            <w:r w:rsidR="00FB27E3">
              <w:rPr>
                <w:rFonts w:ascii="Arial" w:hAnsi="Arial" w:cs="Arial"/>
                <w:sz w:val="24"/>
              </w:rPr>
              <w:t xml:space="preserve">    </w:t>
            </w:r>
            <w:r>
              <w:rPr>
                <w:rFonts w:ascii="Arial" w:hAnsi="Arial" w:cs="Arial"/>
                <w:sz w:val="24"/>
              </w:rPr>
              <w:t>$1,650,000 for neurological and life science research</w:t>
            </w:r>
          </w:p>
          <w:p w:rsidR="00527270" w:rsidRPr="005D21EA" w:rsidRDefault="00F76E81" w:rsidP="00F76E81">
            <w:pPr>
              <w:ind w:left="721" w:hanging="720"/>
              <w:rPr>
                <w:rFonts w:ascii="Arial" w:hAnsi="Arial" w:cs="Arial"/>
                <w:sz w:val="24"/>
              </w:rPr>
            </w:pPr>
            <w:r>
              <w:rPr>
                <w:rFonts w:ascii="Arial" w:hAnsi="Arial" w:cs="Arial"/>
                <w:sz w:val="24"/>
              </w:rPr>
              <w:t>VIMS: $500,000 per year for Chesapeake Bay fisheries</w:t>
            </w:r>
            <w:r w:rsidR="00527270">
              <w:rPr>
                <w:rFonts w:ascii="Arial" w:hAnsi="Arial" w:cs="Arial"/>
                <w:sz w:val="24"/>
              </w:rPr>
              <w:t xml:space="preserve"> </w:t>
            </w:r>
          </w:p>
        </w:tc>
      </w:tr>
      <w:tr w:rsidR="00BE2E4C" w:rsidRPr="0000148A" w:rsidTr="001F0F1C">
        <w:trPr>
          <w:trHeight w:val="1313"/>
        </w:trPr>
        <w:tc>
          <w:tcPr>
            <w:tcW w:w="2771" w:type="dxa"/>
          </w:tcPr>
          <w:p w:rsidR="00BE2E4C" w:rsidRDefault="00BE2E4C" w:rsidP="00F462A6">
            <w:pPr>
              <w:rPr>
                <w:rFonts w:ascii="Arial" w:hAnsi="Arial" w:cs="Arial"/>
                <w:sz w:val="24"/>
              </w:rPr>
            </w:pPr>
            <w:r>
              <w:rPr>
                <w:rFonts w:ascii="Arial" w:hAnsi="Arial" w:cs="Arial"/>
                <w:sz w:val="24"/>
              </w:rPr>
              <w:t>Veteran and Military Education Consortium</w:t>
            </w:r>
          </w:p>
          <w:p w:rsidR="00BE2E4C" w:rsidRPr="0000148A" w:rsidRDefault="00BE2E4C" w:rsidP="00F462A6">
            <w:pPr>
              <w:rPr>
                <w:rFonts w:ascii="Arial" w:hAnsi="Arial" w:cs="Arial"/>
                <w:sz w:val="24"/>
              </w:rPr>
            </w:pPr>
            <w:r>
              <w:rPr>
                <w:rFonts w:ascii="Arial" w:hAnsi="Arial" w:cs="Arial"/>
                <w:sz w:val="24"/>
              </w:rPr>
              <w:t>(JMU, ODU, UVA, VCCS, VT</w:t>
            </w:r>
            <w:r w:rsidR="009F0247">
              <w:rPr>
                <w:rFonts w:ascii="Arial" w:hAnsi="Arial" w:cs="Arial"/>
                <w:sz w:val="24"/>
              </w:rPr>
              <w:t>, SCHEV</w:t>
            </w:r>
            <w:r>
              <w:rPr>
                <w:rFonts w:ascii="Arial" w:hAnsi="Arial" w:cs="Arial"/>
                <w:sz w:val="24"/>
              </w:rPr>
              <w:t>)</w:t>
            </w:r>
          </w:p>
        </w:tc>
        <w:tc>
          <w:tcPr>
            <w:tcW w:w="7309" w:type="dxa"/>
          </w:tcPr>
          <w:p w:rsidR="00BE2E4C" w:rsidRDefault="00BE2E4C" w:rsidP="00F462A6">
            <w:pPr>
              <w:rPr>
                <w:rFonts w:ascii="Arial" w:hAnsi="Arial" w:cs="Arial"/>
                <w:sz w:val="24"/>
              </w:rPr>
            </w:pPr>
            <w:r>
              <w:rPr>
                <w:rFonts w:ascii="Arial" w:hAnsi="Arial" w:cs="Arial"/>
                <w:sz w:val="24"/>
              </w:rPr>
              <w:t>Establish a higher education consortium to help military personnel and veterans apply previous military training and education towards completing existing bachelor’s degree and professional certificate programs.</w:t>
            </w:r>
          </w:p>
          <w:p w:rsidR="00BE2E4C" w:rsidRDefault="00BE2E4C" w:rsidP="00F462A6">
            <w:pPr>
              <w:pStyle w:val="ListParagraph"/>
              <w:numPr>
                <w:ilvl w:val="0"/>
                <w:numId w:val="14"/>
              </w:numPr>
              <w:ind w:left="271" w:hanging="270"/>
              <w:rPr>
                <w:rFonts w:ascii="Arial" w:hAnsi="Arial" w:cs="Arial"/>
                <w:sz w:val="24"/>
              </w:rPr>
            </w:pPr>
            <w:r>
              <w:rPr>
                <w:rFonts w:ascii="Arial" w:hAnsi="Arial" w:cs="Arial"/>
                <w:sz w:val="24"/>
              </w:rPr>
              <w:t>Each participating institution is provided funding of $46,000 in FY2015 and $175,000 in FY2016</w:t>
            </w:r>
          </w:p>
          <w:p w:rsidR="00BE2E4C" w:rsidRPr="00EF159A" w:rsidRDefault="00BE2E4C" w:rsidP="00F462A6">
            <w:pPr>
              <w:pStyle w:val="ListParagraph"/>
              <w:numPr>
                <w:ilvl w:val="0"/>
                <w:numId w:val="14"/>
              </w:numPr>
              <w:ind w:left="271" w:hanging="270"/>
              <w:rPr>
                <w:rFonts w:ascii="Arial" w:hAnsi="Arial" w:cs="Arial"/>
                <w:sz w:val="24"/>
              </w:rPr>
            </w:pPr>
            <w:r>
              <w:rPr>
                <w:rFonts w:ascii="Arial" w:hAnsi="Arial" w:cs="Arial"/>
                <w:sz w:val="24"/>
              </w:rPr>
              <w:t>SCHEV administers the consortium with 2 FTE positions. $341,525 in FY2015 and $161,890 in FY2016</w:t>
            </w:r>
          </w:p>
        </w:tc>
      </w:tr>
      <w:tr w:rsidR="00BE2E4C" w:rsidRPr="0000148A" w:rsidTr="001F0F1C">
        <w:trPr>
          <w:trHeight w:val="1313"/>
        </w:trPr>
        <w:tc>
          <w:tcPr>
            <w:tcW w:w="2771" w:type="dxa"/>
          </w:tcPr>
          <w:p w:rsidR="00BE2E4C" w:rsidRPr="0000148A" w:rsidRDefault="00BE2E4C" w:rsidP="00C45DB5">
            <w:pPr>
              <w:rPr>
                <w:rFonts w:ascii="Arial" w:hAnsi="Arial" w:cs="Arial"/>
                <w:sz w:val="24"/>
              </w:rPr>
            </w:pPr>
            <w:r>
              <w:rPr>
                <w:rFonts w:ascii="Arial" w:hAnsi="Arial" w:cs="Arial"/>
                <w:sz w:val="24"/>
              </w:rPr>
              <w:t>Interest earnings and credit card rebates</w:t>
            </w:r>
          </w:p>
        </w:tc>
        <w:tc>
          <w:tcPr>
            <w:tcW w:w="7309" w:type="dxa"/>
          </w:tcPr>
          <w:p w:rsidR="00BE2E4C" w:rsidRDefault="00BE2E4C" w:rsidP="00F2508C">
            <w:pPr>
              <w:rPr>
                <w:rFonts w:ascii="Arial" w:hAnsi="Arial" w:cs="Arial"/>
                <w:sz w:val="24"/>
              </w:rPr>
            </w:pPr>
            <w:r>
              <w:rPr>
                <w:rFonts w:ascii="Arial" w:hAnsi="Arial" w:cs="Arial"/>
                <w:sz w:val="24"/>
              </w:rPr>
              <w:t>Continue funding for interest earnings and credit card rebates</w:t>
            </w:r>
          </w:p>
          <w:p w:rsidR="00BE2E4C" w:rsidRDefault="00BE2E4C" w:rsidP="00F2508C">
            <w:pPr>
              <w:rPr>
                <w:rFonts w:ascii="Arial" w:hAnsi="Arial" w:cs="Arial"/>
                <w:sz w:val="24"/>
              </w:rPr>
            </w:pPr>
          </w:p>
          <w:p w:rsidR="00BE2E4C" w:rsidRDefault="00BE2E4C" w:rsidP="00F2508C">
            <w:pPr>
              <w:pStyle w:val="ListParagraph"/>
              <w:numPr>
                <w:ilvl w:val="0"/>
                <w:numId w:val="18"/>
              </w:numPr>
              <w:ind w:left="181" w:hanging="180"/>
              <w:rPr>
                <w:rFonts w:ascii="Arial" w:hAnsi="Arial" w:cs="Arial"/>
                <w:sz w:val="24"/>
              </w:rPr>
            </w:pPr>
            <w:r>
              <w:rPr>
                <w:rFonts w:ascii="Arial" w:hAnsi="Arial" w:cs="Arial"/>
                <w:sz w:val="24"/>
              </w:rPr>
              <w:t>Interest earning ($3.7 million) per year</w:t>
            </w:r>
          </w:p>
          <w:p w:rsidR="00BE2E4C" w:rsidRPr="00F2508C" w:rsidRDefault="00BE2E4C" w:rsidP="00F2508C">
            <w:pPr>
              <w:pStyle w:val="ListParagraph"/>
              <w:numPr>
                <w:ilvl w:val="0"/>
                <w:numId w:val="18"/>
              </w:numPr>
              <w:ind w:left="181" w:hanging="180"/>
              <w:rPr>
                <w:rFonts w:ascii="Arial" w:hAnsi="Arial" w:cs="Arial"/>
                <w:sz w:val="24"/>
              </w:rPr>
            </w:pPr>
            <w:r>
              <w:rPr>
                <w:rFonts w:ascii="Arial" w:hAnsi="Arial" w:cs="Arial"/>
                <w:sz w:val="24"/>
              </w:rPr>
              <w:t>Credit card rebates ($1.8 million) per year</w:t>
            </w:r>
          </w:p>
        </w:tc>
      </w:tr>
      <w:tr w:rsidR="00BE2E4C" w:rsidRPr="0000148A" w:rsidTr="001F0F1C">
        <w:trPr>
          <w:trHeight w:val="1313"/>
        </w:trPr>
        <w:tc>
          <w:tcPr>
            <w:tcW w:w="2771" w:type="dxa"/>
          </w:tcPr>
          <w:p w:rsidR="00BE2E4C" w:rsidRPr="0000148A" w:rsidRDefault="00BE2E4C" w:rsidP="00C45DB5">
            <w:pPr>
              <w:rPr>
                <w:rFonts w:ascii="Arial" w:hAnsi="Arial" w:cs="Arial"/>
                <w:sz w:val="24"/>
              </w:rPr>
            </w:pPr>
            <w:r w:rsidRPr="0000148A">
              <w:rPr>
                <w:rFonts w:ascii="Arial" w:hAnsi="Arial" w:cs="Arial"/>
                <w:sz w:val="24"/>
              </w:rPr>
              <w:t>Salary bonus</w:t>
            </w:r>
          </w:p>
        </w:tc>
        <w:tc>
          <w:tcPr>
            <w:tcW w:w="7309" w:type="dxa"/>
          </w:tcPr>
          <w:p w:rsidR="00BE2E4C" w:rsidRPr="003354AA" w:rsidRDefault="00BE2E4C" w:rsidP="0077066A">
            <w:pPr>
              <w:numPr>
                <w:ilvl w:val="0"/>
                <w:numId w:val="5"/>
              </w:numPr>
              <w:ind w:left="162" w:hanging="162"/>
              <w:rPr>
                <w:rFonts w:ascii="Arial" w:hAnsi="Arial" w:cs="Arial"/>
                <w:sz w:val="24"/>
              </w:rPr>
            </w:pPr>
            <w:r w:rsidRPr="003354AA">
              <w:rPr>
                <w:rFonts w:ascii="Arial" w:hAnsi="Arial" w:cs="Arial"/>
                <w:sz w:val="24"/>
              </w:rPr>
              <w:t xml:space="preserve">A contingent bonus up to </w:t>
            </w:r>
            <w:r w:rsidR="00215764">
              <w:rPr>
                <w:rFonts w:ascii="Arial" w:hAnsi="Arial" w:cs="Arial"/>
                <w:sz w:val="24"/>
              </w:rPr>
              <w:t>two to three percent</w:t>
            </w:r>
            <w:r w:rsidRPr="003354AA">
              <w:rPr>
                <w:rFonts w:ascii="Arial" w:hAnsi="Arial" w:cs="Arial"/>
                <w:sz w:val="24"/>
              </w:rPr>
              <w:t>, depending on employees’ performance evaluation for</w:t>
            </w:r>
            <w:r>
              <w:rPr>
                <w:rFonts w:ascii="Arial" w:hAnsi="Arial" w:cs="Arial"/>
                <w:sz w:val="24"/>
              </w:rPr>
              <w:t xml:space="preserve"> f</w:t>
            </w:r>
            <w:r w:rsidRPr="003354AA">
              <w:rPr>
                <w:rFonts w:ascii="Arial" w:hAnsi="Arial" w:cs="Arial"/>
                <w:sz w:val="24"/>
              </w:rPr>
              <w:t>ull-time state employees including higher educa</w:t>
            </w:r>
            <w:r>
              <w:rPr>
                <w:rFonts w:ascii="Arial" w:hAnsi="Arial" w:cs="Arial"/>
                <w:sz w:val="24"/>
              </w:rPr>
              <w:t>tion faculty on December 1, 2014</w:t>
            </w:r>
          </w:p>
          <w:p w:rsidR="00215764" w:rsidRDefault="00215764" w:rsidP="00215764">
            <w:pPr>
              <w:numPr>
                <w:ilvl w:val="0"/>
                <w:numId w:val="5"/>
              </w:numPr>
              <w:ind w:left="162" w:hanging="162"/>
              <w:rPr>
                <w:rFonts w:ascii="Arial" w:hAnsi="Arial" w:cs="Arial"/>
                <w:sz w:val="24"/>
              </w:rPr>
            </w:pPr>
            <w:r>
              <w:rPr>
                <w:rFonts w:ascii="Arial" w:hAnsi="Arial" w:cs="Arial"/>
                <w:sz w:val="24"/>
              </w:rPr>
              <w:t>Employees receiving a ranking of “meet expectations” on their most recent performance evaluation will be eligible for a one-time bonus of up to two percent of their base pay.</w:t>
            </w:r>
          </w:p>
          <w:p w:rsidR="00215764" w:rsidRDefault="00215764" w:rsidP="00215764">
            <w:pPr>
              <w:numPr>
                <w:ilvl w:val="0"/>
                <w:numId w:val="5"/>
              </w:numPr>
              <w:ind w:left="162" w:hanging="162"/>
              <w:rPr>
                <w:rFonts w:ascii="Arial" w:hAnsi="Arial" w:cs="Arial"/>
                <w:sz w:val="24"/>
              </w:rPr>
            </w:pPr>
            <w:r>
              <w:rPr>
                <w:rFonts w:ascii="Arial" w:hAnsi="Arial" w:cs="Arial"/>
                <w:sz w:val="24"/>
              </w:rPr>
              <w:t>Employees receiving a ranking of “</w:t>
            </w:r>
            <w:proofErr w:type="gramStart"/>
            <w:r>
              <w:rPr>
                <w:rFonts w:ascii="Arial" w:hAnsi="Arial" w:cs="Arial"/>
                <w:sz w:val="24"/>
              </w:rPr>
              <w:t>exceeds expectations</w:t>
            </w:r>
            <w:proofErr w:type="gramEnd"/>
            <w:r>
              <w:rPr>
                <w:rFonts w:ascii="Arial" w:hAnsi="Arial" w:cs="Arial"/>
                <w:sz w:val="24"/>
              </w:rPr>
              <w:t>” on their most recent performance evaluation will be eligible for a one-time bonus of up to three percent of their base pay.</w:t>
            </w:r>
          </w:p>
          <w:p w:rsidR="00BE2E4C" w:rsidRDefault="00BE2E4C" w:rsidP="003354AA">
            <w:pPr>
              <w:numPr>
                <w:ilvl w:val="0"/>
                <w:numId w:val="5"/>
              </w:numPr>
              <w:ind w:left="162" w:hanging="162"/>
              <w:rPr>
                <w:rFonts w:ascii="Arial" w:hAnsi="Arial" w:cs="Arial"/>
                <w:sz w:val="24"/>
              </w:rPr>
            </w:pPr>
            <w:r w:rsidRPr="003354AA">
              <w:rPr>
                <w:rFonts w:ascii="Arial" w:hAnsi="Arial" w:cs="Arial" w:hint="eastAsia"/>
                <w:sz w:val="24"/>
              </w:rPr>
              <w:t>In order for the two percent bonus to be paid, state</w:t>
            </w:r>
            <w:r>
              <w:rPr>
                <w:rFonts w:ascii="Arial" w:hAnsi="Arial" w:cs="Arial"/>
                <w:sz w:val="24"/>
              </w:rPr>
              <w:t xml:space="preserve">wide </w:t>
            </w:r>
            <w:r>
              <w:rPr>
                <w:rFonts w:ascii="Arial" w:hAnsi="Arial" w:cs="Arial"/>
                <w:sz w:val="24"/>
              </w:rPr>
              <w:lastRenderedPageBreak/>
              <w:t>discretionary unspent general fund appropriations on June 30, 2014, must meet or exceed twice the general fund cost of the bonus</w:t>
            </w:r>
          </w:p>
          <w:p w:rsidR="00BE2E4C" w:rsidRPr="004628A8" w:rsidRDefault="00BE2E4C" w:rsidP="004628A8">
            <w:pPr>
              <w:numPr>
                <w:ilvl w:val="0"/>
                <w:numId w:val="5"/>
              </w:numPr>
              <w:ind w:left="162" w:hanging="162"/>
              <w:rPr>
                <w:rFonts w:ascii="Arial" w:hAnsi="Arial" w:cs="Arial"/>
                <w:sz w:val="24"/>
              </w:rPr>
            </w:pPr>
            <w:r w:rsidRPr="004628A8">
              <w:rPr>
                <w:rFonts w:ascii="Arial" w:hAnsi="Arial" w:cs="Arial" w:hint="eastAsia"/>
                <w:sz w:val="24"/>
              </w:rPr>
              <w:t>In order for the additional one percent (to</w:t>
            </w:r>
            <w:r>
              <w:rPr>
                <w:rFonts w:ascii="Arial" w:hAnsi="Arial" w:cs="Arial"/>
                <w:sz w:val="24"/>
              </w:rPr>
              <w:t xml:space="preserve"> reach a total of three percent) bonus to be paid, a combination of revenues exceeding the official revenue forecast and statewide discretionary unspent general fund appropriations on June 30, 2014 must meet or exceed twice the general fund cost of that portion of the bonus.</w:t>
            </w:r>
          </w:p>
          <w:p w:rsidR="00215764" w:rsidRPr="0000148A" w:rsidRDefault="00BE2E4C" w:rsidP="00215764">
            <w:pPr>
              <w:numPr>
                <w:ilvl w:val="0"/>
                <w:numId w:val="5"/>
              </w:numPr>
              <w:ind w:left="162" w:hanging="162"/>
              <w:rPr>
                <w:rFonts w:ascii="Arial" w:hAnsi="Arial" w:cs="Arial"/>
                <w:sz w:val="24"/>
              </w:rPr>
            </w:pPr>
            <w:r w:rsidRPr="006E3390">
              <w:rPr>
                <w:rFonts w:ascii="Arial" w:hAnsi="Arial" w:cs="Arial" w:hint="eastAsia"/>
                <w:sz w:val="24"/>
              </w:rPr>
              <w:t>Each agency will be </w:t>
            </w:r>
            <w:r>
              <w:rPr>
                <w:rFonts w:ascii="Arial" w:hAnsi="Arial" w:cs="Arial"/>
                <w:sz w:val="24"/>
              </w:rPr>
              <w:t>responsible for funding the bonus out of its unspent discretionary appropriations.</w:t>
            </w:r>
          </w:p>
        </w:tc>
      </w:tr>
      <w:tr w:rsidR="00BE2E4C" w:rsidRPr="0000148A" w:rsidTr="001F0F1C">
        <w:tc>
          <w:tcPr>
            <w:tcW w:w="2771" w:type="dxa"/>
          </w:tcPr>
          <w:p w:rsidR="00BE2E4C" w:rsidRPr="0000148A" w:rsidRDefault="00693FA1" w:rsidP="00693FA1">
            <w:pPr>
              <w:rPr>
                <w:rFonts w:ascii="Arial" w:hAnsi="Arial" w:cs="Arial"/>
                <w:sz w:val="24"/>
              </w:rPr>
            </w:pPr>
            <w:r>
              <w:rPr>
                <w:rFonts w:ascii="Arial" w:hAnsi="Arial" w:cs="Arial"/>
                <w:sz w:val="24"/>
              </w:rPr>
              <w:lastRenderedPageBreak/>
              <w:t xml:space="preserve">Resource </w:t>
            </w:r>
            <w:r w:rsidR="00BE2E4C" w:rsidRPr="0000148A">
              <w:rPr>
                <w:rFonts w:ascii="Arial" w:hAnsi="Arial" w:cs="Arial"/>
                <w:sz w:val="24"/>
              </w:rPr>
              <w:t>Reallocat</w:t>
            </w:r>
            <w:r>
              <w:rPr>
                <w:rFonts w:ascii="Arial" w:hAnsi="Arial" w:cs="Arial"/>
                <w:sz w:val="24"/>
              </w:rPr>
              <w:t>ion</w:t>
            </w:r>
          </w:p>
        </w:tc>
        <w:tc>
          <w:tcPr>
            <w:tcW w:w="7309" w:type="dxa"/>
          </w:tcPr>
          <w:p w:rsidR="00BE2E4C" w:rsidRPr="0000148A" w:rsidRDefault="00BE2E4C" w:rsidP="00955691">
            <w:pPr>
              <w:rPr>
                <w:rFonts w:ascii="Arial" w:hAnsi="Arial" w:cs="Arial"/>
                <w:sz w:val="24"/>
              </w:rPr>
            </w:pPr>
            <w:r>
              <w:rPr>
                <w:rFonts w:ascii="Arial" w:hAnsi="Arial" w:cs="Arial"/>
                <w:sz w:val="24"/>
              </w:rPr>
              <w:t xml:space="preserve">Institutions are required to </w:t>
            </w:r>
            <w:r w:rsidR="009F0247">
              <w:rPr>
                <w:rFonts w:ascii="Arial" w:hAnsi="Arial" w:cs="Arial"/>
                <w:sz w:val="24"/>
              </w:rPr>
              <w:t>make an annual</w:t>
            </w:r>
            <w:r>
              <w:rPr>
                <w:rFonts w:ascii="Arial" w:hAnsi="Arial" w:cs="Arial"/>
                <w:sz w:val="24"/>
              </w:rPr>
              <w:t xml:space="preserve"> 2% resource reallocation </w:t>
            </w:r>
            <w:r w:rsidR="00693FA1">
              <w:rPr>
                <w:rFonts w:ascii="Arial" w:hAnsi="Arial" w:cs="Arial"/>
                <w:sz w:val="24"/>
              </w:rPr>
              <w:t>of their general fund appropriations for E&amp;G toward objectives of TJ21</w:t>
            </w:r>
            <w:r w:rsidR="009F0247">
              <w:rPr>
                <w:rFonts w:ascii="Arial" w:hAnsi="Arial" w:cs="Arial"/>
                <w:sz w:val="24"/>
              </w:rPr>
              <w:t xml:space="preserve"> (see language below)</w:t>
            </w:r>
            <w:r>
              <w:rPr>
                <w:rFonts w:ascii="Arial" w:hAnsi="Arial" w:cs="Arial"/>
                <w:sz w:val="24"/>
              </w:rPr>
              <w:t>.</w:t>
            </w:r>
          </w:p>
        </w:tc>
      </w:tr>
      <w:tr w:rsidR="00F462A6" w:rsidRPr="0000148A" w:rsidTr="001F0F1C">
        <w:tc>
          <w:tcPr>
            <w:tcW w:w="2771" w:type="dxa"/>
          </w:tcPr>
          <w:p w:rsidR="00F462A6" w:rsidRDefault="00F462A6" w:rsidP="00693FA1">
            <w:pPr>
              <w:rPr>
                <w:rFonts w:ascii="Arial" w:hAnsi="Arial" w:cs="Arial"/>
                <w:sz w:val="24"/>
              </w:rPr>
            </w:pPr>
            <w:r>
              <w:rPr>
                <w:rFonts w:ascii="Arial" w:hAnsi="Arial" w:cs="Arial"/>
                <w:sz w:val="24"/>
              </w:rPr>
              <w:t>Health insurance premium</w:t>
            </w:r>
          </w:p>
        </w:tc>
        <w:tc>
          <w:tcPr>
            <w:tcW w:w="7309" w:type="dxa"/>
          </w:tcPr>
          <w:p w:rsidR="00F462A6" w:rsidRDefault="00F462A6" w:rsidP="00F462A6">
            <w:pPr>
              <w:pStyle w:val="ListParagraph"/>
              <w:numPr>
                <w:ilvl w:val="0"/>
                <w:numId w:val="19"/>
              </w:numPr>
              <w:ind w:left="181" w:hanging="180"/>
              <w:rPr>
                <w:rFonts w:ascii="Arial" w:hAnsi="Arial" w:cs="Arial"/>
                <w:sz w:val="24"/>
              </w:rPr>
            </w:pPr>
            <w:r>
              <w:rPr>
                <w:rFonts w:ascii="Arial" w:hAnsi="Arial" w:cs="Arial"/>
                <w:sz w:val="24"/>
              </w:rPr>
              <w:t>Premiums for single coverage employees will increase approximately $3 per month in both FY2015 and FY2016.</w:t>
            </w:r>
          </w:p>
          <w:p w:rsidR="00114676" w:rsidRPr="00114676" w:rsidRDefault="00114676" w:rsidP="00114676">
            <w:pPr>
              <w:ind w:left="1"/>
              <w:rPr>
                <w:rFonts w:ascii="Arial" w:hAnsi="Arial" w:cs="Arial"/>
                <w:sz w:val="24"/>
              </w:rPr>
            </w:pPr>
          </w:p>
          <w:p w:rsidR="00F462A6" w:rsidRPr="00F462A6" w:rsidRDefault="00F462A6" w:rsidP="00F462A6">
            <w:pPr>
              <w:pStyle w:val="ListParagraph"/>
              <w:numPr>
                <w:ilvl w:val="0"/>
                <w:numId w:val="19"/>
              </w:numPr>
              <w:ind w:left="181" w:hanging="180"/>
              <w:rPr>
                <w:rFonts w:ascii="Arial" w:hAnsi="Arial" w:cs="Arial"/>
                <w:sz w:val="24"/>
              </w:rPr>
            </w:pPr>
            <w:r>
              <w:rPr>
                <w:rFonts w:ascii="Arial" w:hAnsi="Arial" w:cs="Arial"/>
                <w:sz w:val="24"/>
              </w:rPr>
              <w:t>Premiums for family coverage employees will increase approximately $10 per month in FY2015 and $13 per month in FY2016.</w:t>
            </w:r>
          </w:p>
        </w:tc>
      </w:tr>
      <w:tr w:rsidR="00F462A6" w:rsidRPr="0000148A" w:rsidTr="001F0F1C">
        <w:tc>
          <w:tcPr>
            <w:tcW w:w="2771" w:type="dxa"/>
          </w:tcPr>
          <w:p w:rsidR="00F462A6" w:rsidRDefault="00D55F86" w:rsidP="00693FA1">
            <w:pPr>
              <w:rPr>
                <w:rFonts w:ascii="Arial" w:hAnsi="Arial" w:cs="Arial"/>
                <w:sz w:val="24"/>
              </w:rPr>
            </w:pPr>
            <w:r>
              <w:rPr>
                <w:rFonts w:ascii="Arial" w:hAnsi="Arial" w:cs="Arial"/>
                <w:sz w:val="24"/>
              </w:rPr>
              <w:t>VRS rate</w:t>
            </w:r>
          </w:p>
        </w:tc>
        <w:tc>
          <w:tcPr>
            <w:tcW w:w="7309" w:type="dxa"/>
          </w:tcPr>
          <w:p w:rsidR="00D55F86" w:rsidRPr="00D55F86" w:rsidRDefault="00D55F86" w:rsidP="009F0247">
            <w:pPr>
              <w:rPr>
                <w:rFonts w:ascii="Arial" w:hAnsi="Arial" w:cs="Arial"/>
                <w:sz w:val="24"/>
              </w:rPr>
            </w:pPr>
            <w:r>
              <w:rPr>
                <w:rFonts w:ascii="Arial" w:hAnsi="Arial" w:cs="Arial"/>
                <w:sz w:val="24"/>
              </w:rPr>
              <w:t>VRS</w:t>
            </w:r>
            <w:r w:rsidRPr="00D55F86">
              <w:rPr>
                <w:rFonts w:ascii="Arial" w:hAnsi="Arial" w:cs="Arial"/>
                <w:sz w:val="24"/>
              </w:rPr>
              <w:t xml:space="preserve"> rate will be 12.33% for state employees</w:t>
            </w:r>
            <w:r>
              <w:rPr>
                <w:rFonts w:ascii="Arial" w:hAnsi="Arial" w:cs="Arial"/>
                <w:sz w:val="24"/>
              </w:rPr>
              <w:t>,</w:t>
            </w:r>
            <w:r w:rsidRPr="00D55F86">
              <w:rPr>
                <w:rFonts w:ascii="Arial" w:hAnsi="Arial" w:cs="Arial"/>
                <w:sz w:val="24"/>
              </w:rPr>
              <w:t xml:space="preserve"> excluding the 5% employee portion.</w:t>
            </w:r>
            <w:r>
              <w:rPr>
                <w:rFonts w:ascii="Arial" w:hAnsi="Arial" w:cs="Arial"/>
                <w:sz w:val="24"/>
              </w:rPr>
              <w:t xml:space="preserve">  (C</w:t>
            </w:r>
            <w:r w:rsidRPr="00D55F86">
              <w:rPr>
                <w:rFonts w:ascii="Arial" w:hAnsi="Arial" w:cs="Arial"/>
                <w:sz w:val="24"/>
              </w:rPr>
              <w:t>urrently it is 8.76%)</w:t>
            </w:r>
          </w:p>
        </w:tc>
      </w:tr>
      <w:tr w:rsidR="00BE2E4C" w:rsidRPr="0000148A" w:rsidTr="001F0F1C">
        <w:tc>
          <w:tcPr>
            <w:tcW w:w="10080" w:type="dxa"/>
            <w:gridSpan w:val="2"/>
          </w:tcPr>
          <w:p w:rsidR="00BE2E4C" w:rsidRPr="0000148A" w:rsidRDefault="00BE2E4C" w:rsidP="004A118B">
            <w:pPr>
              <w:rPr>
                <w:rFonts w:ascii="Arial" w:hAnsi="Arial" w:cs="Arial"/>
                <w:sz w:val="24"/>
              </w:rPr>
            </w:pPr>
          </w:p>
        </w:tc>
      </w:tr>
      <w:tr w:rsidR="00BE2E4C" w:rsidRPr="0000148A" w:rsidTr="001F0F1C">
        <w:tc>
          <w:tcPr>
            <w:tcW w:w="10080" w:type="dxa"/>
            <w:gridSpan w:val="2"/>
          </w:tcPr>
          <w:p w:rsidR="00BE2E4C" w:rsidRPr="0000148A" w:rsidRDefault="00BE2E4C" w:rsidP="004A118B">
            <w:pPr>
              <w:rPr>
                <w:rFonts w:ascii="Arial" w:hAnsi="Arial" w:cs="Arial"/>
                <w:sz w:val="24"/>
              </w:rPr>
            </w:pPr>
            <w:r w:rsidRPr="0000148A">
              <w:rPr>
                <w:rFonts w:ascii="Arial" w:hAnsi="Arial" w:cs="Arial"/>
                <w:b/>
                <w:i/>
                <w:sz w:val="24"/>
              </w:rPr>
              <w:t>(B) Institution-Specific Operating Budget</w:t>
            </w:r>
          </w:p>
        </w:tc>
      </w:tr>
      <w:tr w:rsidR="00BD3697" w:rsidRPr="0000148A" w:rsidTr="001F0F1C">
        <w:tc>
          <w:tcPr>
            <w:tcW w:w="2771" w:type="dxa"/>
          </w:tcPr>
          <w:p w:rsidR="00BD3697" w:rsidRDefault="00BD3697" w:rsidP="00D147C5">
            <w:pPr>
              <w:rPr>
                <w:rFonts w:ascii="Arial" w:hAnsi="Arial" w:cs="Arial"/>
                <w:sz w:val="24"/>
              </w:rPr>
            </w:pPr>
            <w:r>
              <w:rPr>
                <w:rFonts w:ascii="Arial" w:hAnsi="Arial" w:cs="Arial"/>
                <w:sz w:val="24"/>
              </w:rPr>
              <w:t>GMU</w:t>
            </w:r>
          </w:p>
        </w:tc>
        <w:tc>
          <w:tcPr>
            <w:tcW w:w="7309" w:type="dxa"/>
          </w:tcPr>
          <w:p w:rsidR="00BD3697" w:rsidRDefault="00BD3697" w:rsidP="00BD3697">
            <w:pPr>
              <w:pStyle w:val="ListParagraph"/>
              <w:numPr>
                <w:ilvl w:val="0"/>
                <w:numId w:val="20"/>
              </w:numPr>
              <w:ind w:left="181" w:hanging="180"/>
              <w:rPr>
                <w:rFonts w:ascii="Arial" w:hAnsi="Arial" w:cs="Arial"/>
                <w:sz w:val="24"/>
              </w:rPr>
            </w:pPr>
            <w:r>
              <w:rPr>
                <w:rFonts w:ascii="Arial" w:hAnsi="Arial" w:cs="Arial"/>
                <w:sz w:val="24"/>
              </w:rPr>
              <w:t xml:space="preserve">$125,000 per year to support O&amp;M at the </w:t>
            </w:r>
            <w:proofErr w:type="spellStart"/>
            <w:r>
              <w:rPr>
                <w:rFonts w:ascii="Arial" w:hAnsi="Arial" w:cs="Arial"/>
                <w:sz w:val="24"/>
              </w:rPr>
              <w:t>Hylton</w:t>
            </w:r>
            <w:proofErr w:type="spellEnd"/>
            <w:r>
              <w:rPr>
                <w:rFonts w:ascii="Arial" w:hAnsi="Arial" w:cs="Arial"/>
                <w:sz w:val="24"/>
              </w:rPr>
              <w:t xml:space="preserve"> Center</w:t>
            </w:r>
          </w:p>
          <w:p w:rsidR="00BD3697" w:rsidRDefault="00BD3697" w:rsidP="00BD3697">
            <w:pPr>
              <w:pStyle w:val="ListParagraph"/>
              <w:numPr>
                <w:ilvl w:val="0"/>
                <w:numId w:val="20"/>
              </w:numPr>
              <w:ind w:left="181" w:hanging="180"/>
              <w:rPr>
                <w:rFonts w:ascii="Arial" w:hAnsi="Arial" w:cs="Arial"/>
                <w:sz w:val="24"/>
              </w:rPr>
            </w:pPr>
            <w:r>
              <w:rPr>
                <w:rFonts w:ascii="Arial" w:hAnsi="Arial" w:cs="Arial"/>
                <w:sz w:val="24"/>
              </w:rPr>
              <w:t>$250,000 in FY2015 for research equipment.</w:t>
            </w:r>
          </w:p>
        </w:tc>
      </w:tr>
      <w:tr w:rsidR="00BE2E4C" w:rsidRPr="0000148A" w:rsidTr="001F0F1C">
        <w:tc>
          <w:tcPr>
            <w:tcW w:w="2771" w:type="dxa"/>
          </w:tcPr>
          <w:p w:rsidR="00BE2E4C" w:rsidRDefault="00BE2E4C" w:rsidP="00D147C5">
            <w:pPr>
              <w:rPr>
                <w:rFonts w:ascii="Arial" w:hAnsi="Arial" w:cs="Arial"/>
                <w:sz w:val="24"/>
              </w:rPr>
            </w:pPr>
            <w:r>
              <w:rPr>
                <w:rFonts w:ascii="Arial" w:hAnsi="Arial" w:cs="Arial"/>
                <w:sz w:val="24"/>
              </w:rPr>
              <w:t>JMU</w:t>
            </w:r>
          </w:p>
        </w:tc>
        <w:tc>
          <w:tcPr>
            <w:tcW w:w="7309" w:type="dxa"/>
          </w:tcPr>
          <w:p w:rsidR="00BE2E4C" w:rsidRDefault="00BE2E4C" w:rsidP="00464737">
            <w:pPr>
              <w:pStyle w:val="ListParagraph"/>
              <w:ind w:left="91"/>
              <w:rPr>
                <w:rFonts w:ascii="Arial" w:hAnsi="Arial" w:cs="Arial"/>
                <w:sz w:val="24"/>
              </w:rPr>
            </w:pPr>
            <w:r>
              <w:rPr>
                <w:rFonts w:ascii="Arial" w:hAnsi="Arial" w:cs="Arial"/>
                <w:sz w:val="24"/>
              </w:rPr>
              <w:t>$264,000 in FY2016 for expansion of 4-VA Partnership</w:t>
            </w:r>
          </w:p>
        </w:tc>
      </w:tr>
      <w:tr w:rsidR="00BE2E4C" w:rsidRPr="0000148A" w:rsidTr="001F0F1C">
        <w:tc>
          <w:tcPr>
            <w:tcW w:w="2771" w:type="dxa"/>
          </w:tcPr>
          <w:p w:rsidR="00BE2E4C" w:rsidRPr="0000148A" w:rsidRDefault="00BE2E4C" w:rsidP="00D147C5">
            <w:pPr>
              <w:rPr>
                <w:rFonts w:ascii="Arial" w:hAnsi="Arial" w:cs="Arial"/>
                <w:sz w:val="24"/>
              </w:rPr>
            </w:pPr>
            <w:r>
              <w:rPr>
                <w:rFonts w:ascii="Arial" w:hAnsi="Arial" w:cs="Arial"/>
                <w:sz w:val="24"/>
              </w:rPr>
              <w:t>ODU</w:t>
            </w:r>
          </w:p>
        </w:tc>
        <w:tc>
          <w:tcPr>
            <w:tcW w:w="7309" w:type="dxa"/>
          </w:tcPr>
          <w:p w:rsidR="00BE2E4C" w:rsidRDefault="00BE2E4C" w:rsidP="00464737">
            <w:pPr>
              <w:pStyle w:val="ListParagraph"/>
              <w:numPr>
                <w:ilvl w:val="0"/>
                <w:numId w:val="15"/>
              </w:numPr>
              <w:ind w:left="181" w:hanging="180"/>
              <w:rPr>
                <w:rFonts w:ascii="Arial" w:hAnsi="Arial" w:cs="Arial"/>
                <w:sz w:val="24"/>
              </w:rPr>
            </w:pPr>
            <w:r>
              <w:rPr>
                <w:rFonts w:ascii="Arial" w:hAnsi="Arial" w:cs="Arial"/>
                <w:sz w:val="24"/>
              </w:rPr>
              <w:t>$750,000 per year to enhance information technology infrastructure</w:t>
            </w:r>
          </w:p>
          <w:p w:rsidR="00BE2E4C" w:rsidRDefault="00BE2E4C" w:rsidP="00464737">
            <w:pPr>
              <w:pStyle w:val="ListParagraph"/>
              <w:numPr>
                <w:ilvl w:val="0"/>
                <w:numId w:val="15"/>
              </w:numPr>
              <w:ind w:left="181" w:hanging="180"/>
              <w:rPr>
                <w:rFonts w:ascii="Arial" w:hAnsi="Arial" w:cs="Arial"/>
                <w:sz w:val="24"/>
              </w:rPr>
            </w:pPr>
            <w:r>
              <w:rPr>
                <w:rFonts w:ascii="Arial" w:hAnsi="Arial" w:cs="Arial"/>
                <w:sz w:val="24"/>
              </w:rPr>
              <w:t>$586,250 per year for online program for students who have completed degree requirements</w:t>
            </w:r>
          </w:p>
          <w:p w:rsidR="00BE2E4C" w:rsidRDefault="00BE2E4C" w:rsidP="00464737">
            <w:pPr>
              <w:pStyle w:val="ListParagraph"/>
              <w:numPr>
                <w:ilvl w:val="0"/>
                <w:numId w:val="15"/>
              </w:numPr>
              <w:ind w:left="181" w:hanging="180"/>
              <w:rPr>
                <w:rFonts w:ascii="Arial" w:hAnsi="Arial" w:cs="Arial"/>
                <w:sz w:val="24"/>
              </w:rPr>
            </w:pPr>
            <w:r>
              <w:rPr>
                <w:rFonts w:ascii="Arial" w:hAnsi="Arial" w:cs="Arial"/>
                <w:sz w:val="24"/>
              </w:rPr>
              <w:t>$500,000 per year to expand offerings by the Commonwealth Graduate Nursing Consortium</w:t>
            </w:r>
          </w:p>
          <w:p w:rsidR="0084765C" w:rsidRPr="00464737" w:rsidRDefault="0084765C" w:rsidP="0084765C">
            <w:pPr>
              <w:pStyle w:val="ListParagraph"/>
              <w:numPr>
                <w:ilvl w:val="0"/>
                <w:numId w:val="15"/>
              </w:numPr>
              <w:ind w:left="181" w:hanging="180"/>
              <w:rPr>
                <w:rFonts w:ascii="Arial" w:hAnsi="Arial" w:cs="Arial"/>
                <w:sz w:val="24"/>
              </w:rPr>
            </w:pPr>
            <w:r>
              <w:rPr>
                <w:rFonts w:ascii="Arial" w:hAnsi="Arial" w:cs="Arial"/>
                <w:sz w:val="24"/>
              </w:rPr>
              <w:t>Eliminate the second year planning fund of ($125,000) for a study on the feasibility of a public health school jointly with EVMS.</w:t>
            </w:r>
          </w:p>
        </w:tc>
      </w:tr>
      <w:tr w:rsidR="00BE2E4C" w:rsidRPr="0000148A" w:rsidTr="001F0F1C">
        <w:tc>
          <w:tcPr>
            <w:tcW w:w="2771" w:type="dxa"/>
          </w:tcPr>
          <w:p w:rsidR="00BE2E4C" w:rsidRPr="0000148A" w:rsidRDefault="00BE2E4C" w:rsidP="00637CAA">
            <w:pPr>
              <w:rPr>
                <w:rFonts w:ascii="Arial" w:hAnsi="Arial" w:cs="Arial"/>
                <w:sz w:val="24"/>
              </w:rPr>
            </w:pPr>
            <w:r>
              <w:rPr>
                <w:rFonts w:ascii="Arial" w:hAnsi="Arial" w:cs="Arial"/>
                <w:sz w:val="24"/>
              </w:rPr>
              <w:t>RU</w:t>
            </w:r>
          </w:p>
        </w:tc>
        <w:tc>
          <w:tcPr>
            <w:tcW w:w="7309" w:type="dxa"/>
          </w:tcPr>
          <w:p w:rsidR="00BE2E4C" w:rsidRDefault="00BE2E4C" w:rsidP="00C71D1D">
            <w:pPr>
              <w:rPr>
                <w:rFonts w:ascii="Arial" w:hAnsi="Arial" w:cs="Arial"/>
                <w:sz w:val="24"/>
              </w:rPr>
            </w:pPr>
            <w:r>
              <w:rPr>
                <w:rFonts w:ascii="Arial" w:hAnsi="Arial" w:cs="Arial"/>
                <w:sz w:val="24"/>
              </w:rPr>
              <w:t>$187,781 in FY2015 and $198,431 in FY2016 for Mobile Innovation Learning Lab</w:t>
            </w:r>
          </w:p>
        </w:tc>
      </w:tr>
      <w:tr w:rsidR="00BE2E4C" w:rsidRPr="0000148A" w:rsidTr="001F0F1C">
        <w:tc>
          <w:tcPr>
            <w:tcW w:w="2771" w:type="dxa"/>
          </w:tcPr>
          <w:p w:rsidR="00BE2E4C" w:rsidRPr="0000148A" w:rsidRDefault="00BE2E4C" w:rsidP="00622BA0">
            <w:pPr>
              <w:rPr>
                <w:rFonts w:ascii="Arial" w:hAnsi="Arial" w:cs="Arial"/>
                <w:sz w:val="24"/>
              </w:rPr>
            </w:pPr>
            <w:r>
              <w:rPr>
                <w:rFonts w:ascii="Arial" w:hAnsi="Arial" w:cs="Arial"/>
                <w:sz w:val="24"/>
              </w:rPr>
              <w:t>UVA</w:t>
            </w:r>
          </w:p>
        </w:tc>
        <w:tc>
          <w:tcPr>
            <w:tcW w:w="7309" w:type="dxa"/>
          </w:tcPr>
          <w:p w:rsidR="00BE2E4C" w:rsidRDefault="00BE2E4C" w:rsidP="00EF159A">
            <w:pPr>
              <w:rPr>
                <w:rFonts w:ascii="Arial" w:hAnsi="Arial" w:cs="Arial"/>
                <w:sz w:val="24"/>
              </w:rPr>
            </w:pPr>
            <w:r>
              <w:rPr>
                <w:rFonts w:ascii="Arial" w:hAnsi="Arial" w:cs="Arial"/>
                <w:sz w:val="24"/>
              </w:rPr>
              <w:t>$106,000 in FY2015 and $153,000 in FY2016 for higher education procurement cooperative.</w:t>
            </w:r>
          </w:p>
        </w:tc>
      </w:tr>
      <w:tr w:rsidR="00BE2E4C" w:rsidRPr="0000148A" w:rsidTr="001F0F1C">
        <w:tc>
          <w:tcPr>
            <w:tcW w:w="2771" w:type="dxa"/>
          </w:tcPr>
          <w:p w:rsidR="00BE2E4C" w:rsidRPr="0000148A" w:rsidRDefault="00BE2E4C" w:rsidP="00622BA0">
            <w:pPr>
              <w:rPr>
                <w:rFonts w:ascii="Arial" w:hAnsi="Arial" w:cs="Arial"/>
                <w:sz w:val="24"/>
              </w:rPr>
            </w:pPr>
            <w:r w:rsidRPr="0000148A">
              <w:rPr>
                <w:rFonts w:ascii="Arial" w:hAnsi="Arial" w:cs="Arial"/>
                <w:sz w:val="24"/>
              </w:rPr>
              <w:t>VCU</w:t>
            </w:r>
          </w:p>
        </w:tc>
        <w:tc>
          <w:tcPr>
            <w:tcW w:w="7309" w:type="dxa"/>
          </w:tcPr>
          <w:p w:rsidR="00BE2E4C" w:rsidRDefault="00BE2E4C" w:rsidP="00464737">
            <w:pPr>
              <w:pStyle w:val="ListParagraph"/>
              <w:numPr>
                <w:ilvl w:val="0"/>
                <w:numId w:val="16"/>
              </w:numPr>
              <w:ind w:left="181" w:hanging="180"/>
              <w:rPr>
                <w:rFonts w:ascii="Arial" w:hAnsi="Arial" w:cs="Arial"/>
                <w:sz w:val="24"/>
              </w:rPr>
            </w:pPr>
            <w:r w:rsidRPr="00464737">
              <w:rPr>
                <w:rFonts w:ascii="Arial" w:hAnsi="Arial" w:cs="Arial"/>
                <w:sz w:val="24"/>
              </w:rPr>
              <w:t xml:space="preserve">$219,375 per year for Commonwealth Center for Advanced Logistics. </w:t>
            </w:r>
          </w:p>
          <w:p w:rsidR="00BE2E4C" w:rsidRPr="00464737" w:rsidRDefault="00BE2E4C" w:rsidP="0084765C">
            <w:pPr>
              <w:pStyle w:val="ListParagraph"/>
              <w:numPr>
                <w:ilvl w:val="0"/>
                <w:numId w:val="16"/>
              </w:numPr>
              <w:ind w:left="181" w:hanging="180"/>
              <w:rPr>
                <w:rFonts w:ascii="Arial" w:hAnsi="Arial" w:cs="Arial"/>
                <w:sz w:val="24"/>
              </w:rPr>
            </w:pPr>
            <w:r>
              <w:rPr>
                <w:rFonts w:ascii="Arial" w:hAnsi="Arial" w:cs="Arial"/>
                <w:sz w:val="24"/>
              </w:rPr>
              <w:t>$325,000 per year for expansion of 4-VA Partnership</w:t>
            </w:r>
          </w:p>
        </w:tc>
      </w:tr>
      <w:tr w:rsidR="00BE2E4C" w:rsidRPr="0000148A" w:rsidTr="001F0F1C">
        <w:tc>
          <w:tcPr>
            <w:tcW w:w="2771" w:type="dxa"/>
          </w:tcPr>
          <w:p w:rsidR="00BE2E4C" w:rsidRPr="0000148A" w:rsidRDefault="00BE2E4C" w:rsidP="004A118B">
            <w:pPr>
              <w:rPr>
                <w:rFonts w:ascii="Arial" w:hAnsi="Arial" w:cs="Arial"/>
                <w:sz w:val="24"/>
              </w:rPr>
            </w:pPr>
            <w:r w:rsidRPr="0000148A">
              <w:rPr>
                <w:rFonts w:ascii="Arial" w:hAnsi="Arial" w:cs="Arial"/>
                <w:sz w:val="24"/>
              </w:rPr>
              <w:t>VCCS</w:t>
            </w:r>
          </w:p>
        </w:tc>
        <w:tc>
          <w:tcPr>
            <w:tcW w:w="7309" w:type="dxa"/>
          </w:tcPr>
          <w:p w:rsidR="00BE2E4C" w:rsidRPr="0000148A" w:rsidRDefault="00BE2E4C" w:rsidP="00EF159A">
            <w:pPr>
              <w:ind w:left="-18"/>
              <w:rPr>
                <w:rFonts w:ascii="Arial" w:hAnsi="Arial" w:cs="Arial"/>
                <w:sz w:val="24"/>
              </w:rPr>
            </w:pPr>
            <w:r w:rsidRPr="0000148A">
              <w:rPr>
                <w:rFonts w:ascii="Arial" w:hAnsi="Arial" w:cs="Arial"/>
                <w:sz w:val="24"/>
              </w:rPr>
              <w:t>$</w:t>
            </w:r>
            <w:r w:rsidR="00BD3697">
              <w:rPr>
                <w:rFonts w:ascii="Arial" w:hAnsi="Arial" w:cs="Arial"/>
                <w:sz w:val="24"/>
              </w:rPr>
              <w:t>2.5</w:t>
            </w:r>
            <w:r w:rsidRPr="0000148A">
              <w:rPr>
                <w:rFonts w:ascii="Arial" w:hAnsi="Arial" w:cs="Arial"/>
                <w:sz w:val="24"/>
              </w:rPr>
              <w:t xml:space="preserve"> million</w:t>
            </w:r>
            <w:r>
              <w:rPr>
                <w:rFonts w:ascii="Arial" w:hAnsi="Arial" w:cs="Arial"/>
                <w:sz w:val="24"/>
              </w:rPr>
              <w:t xml:space="preserve"> for workforce-related initiatives</w:t>
            </w:r>
            <w:r w:rsidRPr="0000148A">
              <w:rPr>
                <w:rFonts w:ascii="Arial" w:hAnsi="Arial" w:cs="Arial"/>
                <w:sz w:val="24"/>
              </w:rPr>
              <w:t>.</w:t>
            </w:r>
          </w:p>
        </w:tc>
      </w:tr>
      <w:tr w:rsidR="00BD3697" w:rsidRPr="0000148A" w:rsidTr="001F0F1C">
        <w:tc>
          <w:tcPr>
            <w:tcW w:w="2771" w:type="dxa"/>
          </w:tcPr>
          <w:p w:rsidR="00BD3697" w:rsidRDefault="00BD3697" w:rsidP="00464737">
            <w:pPr>
              <w:rPr>
                <w:rFonts w:ascii="Arial" w:hAnsi="Arial" w:cs="Arial"/>
                <w:sz w:val="24"/>
              </w:rPr>
            </w:pPr>
            <w:r>
              <w:rPr>
                <w:rFonts w:ascii="Arial" w:hAnsi="Arial" w:cs="Arial"/>
                <w:sz w:val="24"/>
              </w:rPr>
              <w:t>VMI</w:t>
            </w:r>
          </w:p>
        </w:tc>
        <w:tc>
          <w:tcPr>
            <w:tcW w:w="7309" w:type="dxa"/>
          </w:tcPr>
          <w:p w:rsidR="00BD3697" w:rsidRDefault="00BD3697" w:rsidP="00BD3697">
            <w:pPr>
              <w:rPr>
                <w:rFonts w:ascii="Arial" w:hAnsi="Arial" w:cs="Arial"/>
                <w:sz w:val="24"/>
              </w:rPr>
            </w:pPr>
            <w:r>
              <w:rPr>
                <w:rFonts w:ascii="Arial" w:hAnsi="Arial" w:cs="Arial"/>
                <w:sz w:val="24"/>
              </w:rPr>
              <w:t>$250,000 per year for unique military activities.</w:t>
            </w:r>
          </w:p>
        </w:tc>
      </w:tr>
      <w:tr w:rsidR="00BE2E4C" w:rsidRPr="0000148A" w:rsidTr="001F0F1C">
        <w:tc>
          <w:tcPr>
            <w:tcW w:w="2771" w:type="dxa"/>
          </w:tcPr>
          <w:p w:rsidR="00BE2E4C" w:rsidRPr="0000148A" w:rsidRDefault="00BE2E4C" w:rsidP="00464737">
            <w:pPr>
              <w:rPr>
                <w:rFonts w:ascii="Arial" w:hAnsi="Arial" w:cs="Arial"/>
                <w:sz w:val="24"/>
              </w:rPr>
            </w:pPr>
            <w:r>
              <w:rPr>
                <w:rFonts w:ascii="Arial" w:hAnsi="Arial" w:cs="Arial"/>
                <w:sz w:val="24"/>
              </w:rPr>
              <w:t>VT-extension</w:t>
            </w:r>
          </w:p>
        </w:tc>
        <w:tc>
          <w:tcPr>
            <w:tcW w:w="7309" w:type="dxa"/>
          </w:tcPr>
          <w:p w:rsidR="00BE2E4C" w:rsidRPr="0000148A" w:rsidRDefault="00BE2E4C" w:rsidP="00464737">
            <w:pPr>
              <w:rPr>
                <w:rFonts w:ascii="Arial" w:hAnsi="Arial" w:cs="Arial"/>
                <w:sz w:val="24"/>
              </w:rPr>
            </w:pPr>
            <w:r>
              <w:rPr>
                <w:rFonts w:ascii="Arial" w:hAnsi="Arial" w:cs="Arial"/>
                <w:sz w:val="24"/>
              </w:rPr>
              <w:t>O&amp;M funding, $1,149,966 in FY2015 and $1,173,129 in FY2016</w:t>
            </w:r>
          </w:p>
        </w:tc>
      </w:tr>
      <w:tr w:rsidR="00BE2E4C" w:rsidRPr="0000148A" w:rsidTr="001F0F1C">
        <w:tc>
          <w:tcPr>
            <w:tcW w:w="2771" w:type="dxa"/>
          </w:tcPr>
          <w:p w:rsidR="00BE2E4C" w:rsidRPr="0000148A" w:rsidRDefault="00BE2E4C" w:rsidP="00464737">
            <w:pPr>
              <w:rPr>
                <w:rFonts w:ascii="Arial" w:hAnsi="Arial" w:cs="Arial"/>
                <w:sz w:val="24"/>
              </w:rPr>
            </w:pPr>
            <w:r w:rsidRPr="0000148A">
              <w:rPr>
                <w:rFonts w:ascii="Arial" w:hAnsi="Arial" w:cs="Arial"/>
                <w:sz w:val="24"/>
              </w:rPr>
              <w:t>EVMS</w:t>
            </w:r>
          </w:p>
        </w:tc>
        <w:tc>
          <w:tcPr>
            <w:tcW w:w="7309" w:type="dxa"/>
          </w:tcPr>
          <w:p w:rsidR="00BE2E4C" w:rsidRPr="0000148A" w:rsidRDefault="00BE2E4C" w:rsidP="00464737">
            <w:pPr>
              <w:rPr>
                <w:rFonts w:ascii="Arial" w:hAnsi="Arial" w:cs="Arial"/>
                <w:sz w:val="24"/>
              </w:rPr>
            </w:pPr>
            <w:r w:rsidRPr="0000148A">
              <w:rPr>
                <w:rFonts w:ascii="Arial" w:hAnsi="Arial" w:cs="Arial"/>
                <w:sz w:val="24"/>
              </w:rPr>
              <w:t>$</w:t>
            </w:r>
            <w:r>
              <w:rPr>
                <w:rFonts w:ascii="Arial" w:hAnsi="Arial" w:cs="Arial"/>
                <w:sz w:val="24"/>
              </w:rPr>
              <w:t>1.0 million</w:t>
            </w:r>
            <w:r w:rsidRPr="0000148A">
              <w:rPr>
                <w:rFonts w:ascii="Arial" w:hAnsi="Arial" w:cs="Arial"/>
                <w:sz w:val="24"/>
              </w:rPr>
              <w:t xml:space="preserve"> </w:t>
            </w:r>
            <w:r>
              <w:rPr>
                <w:rFonts w:ascii="Arial" w:hAnsi="Arial" w:cs="Arial"/>
                <w:sz w:val="24"/>
              </w:rPr>
              <w:t xml:space="preserve">per year </w:t>
            </w:r>
            <w:r w:rsidRPr="0000148A">
              <w:rPr>
                <w:rFonts w:ascii="Arial" w:hAnsi="Arial" w:cs="Arial"/>
                <w:sz w:val="24"/>
              </w:rPr>
              <w:t>to support medical education</w:t>
            </w:r>
          </w:p>
        </w:tc>
      </w:tr>
      <w:tr w:rsidR="00BE2E4C" w:rsidRPr="0000148A" w:rsidTr="001F0F1C">
        <w:tc>
          <w:tcPr>
            <w:tcW w:w="2771" w:type="dxa"/>
          </w:tcPr>
          <w:p w:rsidR="00BE2E4C" w:rsidRPr="0000148A" w:rsidRDefault="00BE2E4C" w:rsidP="00464737">
            <w:pPr>
              <w:rPr>
                <w:rFonts w:ascii="Arial" w:hAnsi="Arial" w:cs="Arial"/>
                <w:sz w:val="24"/>
              </w:rPr>
            </w:pPr>
            <w:r>
              <w:rPr>
                <w:rFonts w:ascii="Arial" w:hAnsi="Arial" w:cs="Arial"/>
                <w:sz w:val="24"/>
              </w:rPr>
              <w:lastRenderedPageBreak/>
              <w:t>Institute for Advanced Learning and Research</w:t>
            </w:r>
          </w:p>
        </w:tc>
        <w:tc>
          <w:tcPr>
            <w:tcW w:w="7309" w:type="dxa"/>
          </w:tcPr>
          <w:p w:rsidR="00BE2E4C" w:rsidRDefault="00BE2E4C" w:rsidP="00464737">
            <w:pPr>
              <w:rPr>
                <w:rFonts w:ascii="Arial" w:hAnsi="Arial" w:cs="Arial"/>
                <w:sz w:val="24"/>
              </w:rPr>
            </w:pPr>
            <w:r>
              <w:rPr>
                <w:rFonts w:ascii="Arial" w:hAnsi="Arial" w:cs="Arial"/>
                <w:sz w:val="24"/>
              </w:rPr>
              <w:t>$1.6 million to advance manufacturing in cooperation with Danville Community College.</w:t>
            </w:r>
          </w:p>
        </w:tc>
      </w:tr>
      <w:tr w:rsidR="00BE2E4C" w:rsidRPr="0000148A" w:rsidTr="001F0F1C">
        <w:tc>
          <w:tcPr>
            <w:tcW w:w="2771" w:type="dxa"/>
          </w:tcPr>
          <w:p w:rsidR="00BE2E4C" w:rsidRPr="0000148A" w:rsidRDefault="00BE2E4C" w:rsidP="00464737">
            <w:pPr>
              <w:rPr>
                <w:rFonts w:ascii="Arial" w:hAnsi="Arial" w:cs="Arial"/>
                <w:sz w:val="24"/>
              </w:rPr>
            </w:pPr>
            <w:r>
              <w:rPr>
                <w:rFonts w:ascii="Arial" w:hAnsi="Arial" w:cs="Arial"/>
                <w:sz w:val="24"/>
              </w:rPr>
              <w:t>Jefferson Lab</w:t>
            </w:r>
          </w:p>
        </w:tc>
        <w:tc>
          <w:tcPr>
            <w:tcW w:w="7309" w:type="dxa"/>
          </w:tcPr>
          <w:p w:rsidR="00BE2E4C" w:rsidRPr="0000148A" w:rsidRDefault="00BE2E4C" w:rsidP="00464737">
            <w:pPr>
              <w:ind w:left="-18"/>
              <w:rPr>
                <w:rFonts w:ascii="Arial" w:hAnsi="Arial" w:cs="Arial"/>
                <w:sz w:val="24"/>
              </w:rPr>
            </w:pPr>
            <w:r w:rsidRPr="0000148A">
              <w:rPr>
                <w:rFonts w:ascii="Arial" w:hAnsi="Arial" w:cs="Arial"/>
                <w:sz w:val="24"/>
              </w:rPr>
              <w:t>$</w:t>
            </w:r>
            <w:r>
              <w:rPr>
                <w:rFonts w:ascii="Arial" w:hAnsi="Arial" w:cs="Arial"/>
                <w:sz w:val="24"/>
              </w:rPr>
              <w:t>4.6 million to support the efforts to host the new federal electron collider project.</w:t>
            </w:r>
          </w:p>
        </w:tc>
      </w:tr>
      <w:tr w:rsidR="00BE2E4C" w:rsidRPr="0000148A" w:rsidTr="001F0F1C">
        <w:tc>
          <w:tcPr>
            <w:tcW w:w="2771" w:type="dxa"/>
          </w:tcPr>
          <w:p w:rsidR="00BE2E4C" w:rsidRDefault="00BE2E4C" w:rsidP="006F39DD">
            <w:pPr>
              <w:rPr>
                <w:rFonts w:ascii="Arial" w:hAnsi="Arial" w:cs="Arial"/>
                <w:sz w:val="24"/>
              </w:rPr>
            </w:pPr>
            <w:r>
              <w:rPr>
                <w:rFonts w:ascii="Arial" w:hAnsi="Arial" w:cs="Arial"/>
                <w:sz w:val="24"/>
              </w:rPr>
              <w:t>NCI</w:t>
            </w:r>
          </w:p>
        </w:tc>
        <w:tc>
          <w:tcPr>
            <w:tcW w:w="7309" w:type="dxa"/>
          </w:tcPr>
          <w:p w:rsidR="00BE2E4C" w:rsidRPr="0000148A" w:rsidRDefault="00BE2E4C" w:rsidP="006F39DD">
            <w:pPr>
              <w:ind w:left="-18"/>
              <w:rPr>
                <w:rFonts w:ascii="Arial" w:hAnsi="Arial" w:cs="Arial"/>
                <w:sz w:val="24"/>
              </w:rPr>
            </w:pPr>
            <w:r>
              <w:rPr>
                <w:rFonts w:ascii="Arial" w:hAnsi="Arial" w:cs="Arial"/>
                <w:sz w:val="24"/>
              </w:rPr>
              <w:t>$440,037 per year for workforce development program</w:t>
            </w:r>
          </w:p>
        </w:tc>
      </w:tr>
      <w:tr w:rsidR="00BE2E4C" w:rsidRPr="0000148A" w:rsidTr="001F0F1C">
        <w:tc>
          <w:tcPr>
            <w:tcW w:w="2771" w:type="dxa"/>
          </w:tcPr>
          <w:p w:rsidR="00BE2E4C" w:rsidRDefault="00BE2E4C" w:rsidP="00464737">
            <w:pPr>
              <w:rPr>
                <w:rFonts w:ascii="Arial" w:hAnsi="Arial" w:cs="Arial"/>
                <w:sz w:val="24"/>
              </w:rPr>
            </w:pPr>
            <w:r>
              <w:rPr>
                <w:rFonts w:ascii="Arial" w:hAnsi="Arial" w:cs="Arial"/>
                <w:sz w:val="24"/>
              </w:rPr>
              <w:t>SVHEC</w:t>
            </w:r>
          </w:p>
        </w:tc>
        <w:tc>
          <w:tcPr>
            <w:tcW w:w="7309" w:type="dxa"/>
          </w:tcPr>
          <w:p w:rsidR="00BE2E4C" w:rsidRPr="0000148A" w:rsidRDefault="00BE2E4C" w:rsidP="00464737">
            <w:pPr>
              <w:ind w:left="-18"/>
              <w:rPr>
                <w:rFonts w:ascii="Arial" w:hAnsi="Arial" w:cs="Arial"/>
                <w:sz w:val="24"/>
              </w:rPr>
            </w:pPr>
            <w:r>
              <w:rPr>
                <w:rFonts w:ascii="Arial" w:hAnsi="Arial" w:cs="Arial"/>
                <w:sz w:val="24"/>
              </w:rPr>
              <w:t>$300,000 per year for workforce development program</w:t>
            </w:r>
          </w:p>
        </w:tc>
      </w:tr>
      <w:tr w:rsidR="00BE2E4C" w:rsidRPr="0000148A" w:rsidTr="001F0F1C">
        <w:tc>
          <w:tcPr>
            <w:tcW w:w="2771" w:type="dxa"/>
          </w:tcPr>
          <w:p w:rsidR="00BE2E4C" w:rsidRDefault="00BE2E4C" w:rsidP="00464737">
            <w:pPr>
              <w:rPr>
                <w:rFonts w:ascii="Arial" w:hAnsi="Arial" w:cs="Arial"/>
                <w:sz w:val="24"/>
              </w:rPr>
            </w:pPr>
            <w:r>
              <w:rPr>
                <w:rFonts w:ascii="Arial" w:hAnsi="Arial" w:cs="Arial"/>
                <w:sz w:val="24"/>
              </w:rPr>
              <w:t>SWHEC</w:t>
            </w:r>
          </w:p>
        </w:tc>
        <w:tc>
          <w:tcPr>
            <w:tcW w:w="7309" w:type="dxa"/>
          </w:tcPr>
          <w:p w:rsidR="00BE2E4C" w:rsidRPr="0000148A" w:rsidRDefault="00BE2E4C" w:rsidP="00464737">
            <w:pPr>
              <w:ind w:left="-18"/>
              <w:rPr>
                <w:rFonts w:ascii="Arial" w:hAnsi="Arial" w:cs="Arial"/>
                <w:sz w:val="24"/>
              </w:rPr>
            </w:pPr>
            <w:r>
              <w:rPr>
                <w:rFonts w:ascii="Arial" w:hAnsi="Arial" w:cs="Arial"/>
                <w:sz w:val="24"/>
              </w:rPr>
              <w:t>$95,327 per year for workforce development program</w:t>
            </w:r>
          </w:p>
        </w:tc>
      </w:tr>
      <w:tr w:rsidR="00BE2E4C" w:rsidRPr="0000148A" w:rsidTr="001F0F1C">
        <w:tc>
          <w:tcPr>
            <w:tcW w:w="2771" w:type="dxa"/>
          </w:tcPr>
          <w:p w:rsidR="00BE2E4C" w:rsidRDefault="00BE2E4C" w:rsidP="00464737">
            <w:pPr>
              <w:rPr>
                <w:rFonts w:ascii="Arial" w:hAnsi="Arial" w:cs="Arial"/>
                <w:sz w:val="24"/>
              </w:rPr>
            </w:pPr>
            <w:r>
              <w:rPr>
                <w:rFonts w:ascii="Arial" w:hAnsi="Arial" w:cs="Arial"/>
                <w:sz w:val="24"/>
              </w:rPr>
              <w:t>RHEC</w:t>
            </w:r>
          </w:p>
        </w:tc>
        <w:tc>
          <w:tcPr>
            <w:tcW w:w="7309" w:type="dxa"/>
          </w:tcPr>
          <w:p w:rsidR="00BE2E4C" w:rsidRPr="0000148A" w:rsidRDefault="00BE2E4C" w:rsidP="00464737">
            <w:pPr>
              <w:ind w:left="-18"/>
              <w:rPr>
                <w:rFonts w:ascii="Arial" w:hAnsi="Arial" w:cs="Arial"/>
                <w:sz w:val="24"/>
              </w:rPr>
            </w:pPr>
            <w:r>
              <w:rPr>
                <w:rFonts w:ascii="Arial" w:hAnsi="Arial" w:cs="Arial"/>
                <w:sz w:val="24"/>
              </w:rPr>
              <w:t>$343,000 per year to enhance recruitment, retention and degree completion</w:t>
            </w:r>
          </w:p>
        </w:tc>
      </w:tr>
      <w:tr w:rsidR="00BE2E4C" w:rsidRPr="0000148A" w:rsidTr="001F0F1C">
        <w:tc>
          <w:tcPr>
            <w:tcW w:w="10080" w:type="dxa"/>
            <w:gridSpan w:val="2"/>
          </w:tcPr>
          <w:p w:rsidR="00BE2E4C" w:rsidRPr="0000148A" w:rsidRDefault="00BE2E4C" w:rsidP="00E02343">
            <w:pPr>
              <w:rPr>
                <w:rFonts w:ascii="Arial" w:hAnsi="Arial" w:cs="Arial"/>
                <w:sz w:val="24"/>
              </w:rPr>
            </w:pPr>
          </w:p>
        </w:tc>
      </w:tr>
      <w:tr w:rsidR="00BE2E4C" w:rsidRPr="0000148A" w:rsidTr="001F0F1C">
        <w:tc>
          <w:tcPr>
            <w:tcW w:w="10080" w:type="dxa"/>
            <w:gridSpan w:val="2"/>
          </w:tcPr>
          <w:p w:rsidR="00BE2E4C" w:rsidRPr="0000148A" w:rsidRDefault="00BE2E4C" w:rsidP="00E02343">
            <w:pPr>
              <w:ind w:left="162"/>
              <w:rPr>
                <w:rFonts w:ascii="Arial" w:hAnsi="Arial" w:cs="Arial"/>
                <w:sz w:val="24"/>
              </w:rPr>
            </w:pPr>
            <w:r w:rsidRPr="00E70E01">
              <w:rPr>
                <w:rFonts w:ascii="Arial" w:hAnsi="Arial" w:cs="Arial"/>
                <w:b/>
                <w:i/>
                <w:sz w:val="24"/>
              </w:rPr>
              <w:t>(C) Language</w:t>
            </w:r>
          </w:p>
        </w:tc>
      </w:tr>
      <w:tr w:rsidR="00693FA1" w:rsidRPr="0000148A" w:rsidTr="001F0F1C">
        <w:tc>
          <w:tcPr>
            <w:tcW w:w="2771" w:type="dxa"/>
          </w:tcPr>
          <w:p w:rsidR="00693FA1" w:rsidRDefault="00693FA1" w:rsidP="00CC5530">
            <w:pPr>
              <w:rPr>
                <w:rFonts w:ascii="Arial" w:hAnsi="Arial" w:cs="Arial"/>
                <w:sz w:val="24"/>
              </w:rPr>
            </w:pPr>
            <w:r>
              <w:rPr>
                <w:rFonts w:ascii="Arial" w:hAnsi="Arial" w:cs="Arial"/>
                <w:sz w:val="24"/>
              </w:rPr>
              <w:t>Funding for enrollment growth, degree incentives and base funding</w:t>
            </w:r>
          </w:p>
        </w:tc>
        <w:tc>
          <w:tcPr>
            <w:tcW w:w="7309" w:type="dxa"/>
          </w:tcPr>
          <w:p w:rsidR="00693FA1" w:rsidRDefault="00693FA1" w:rsidP="00693FA1">
            <w:pPr>
              <w:rPr>
                <w:rFonts w:ascii="Arial" w:hAnsi="Arial" w:cs="Arial"/>
                <w:sz w:val="24"/>
              </w:rPr>
            </w:pPr>
            <w:r>
              <w:rPr>
                <w:rFonts w:ascii="Arial" w:hAnsi="Arial" w:cs="Arial"/>
                <w:sz w:val="24"/>
              </w:rPr>
              <w:t>Language included in institutions’ E&amp;G budget</w:t>
            </w:r>
          </w:p>
          <w:p w:rsidR="00693FA1" w:rsidRDefault="00693FA1" w:rsidP="005D4363">
            <w:pPr>
              <w:rPr>
                <w:rFonts w:ascii="Arial" w:hAnsi="Arial" w:cs="Arial"/>
                <w:sz w:val="24"/>
              </w:rPr>
            </w:pPr>
          </w:p>
          <w:p w:rsidR="00693FA1" w:rsidRDefault="00693FA1" w:rsidP="005D4363">
            <w:pPr>
              <w:rPr>
                <w:rFonts w:ascii="Arial" w:hAnsi="Arial" w:cs="Arial"/>
                <w:sz w:val="24"/>
              </w:rPr>
            </w:pPr>
            <w:r>
              <w:rPr>
                <w:rFonts w:ascii="Arial" w:hAnsi="Arial" w:cs="Arial"/>
                <w:sz w:val="24"/>
              </w:rPr>
              <w:t>“Out of this appropriation, $XXX the first year and $XXX the second year from the general fund is designated to support the institution’s approved six-year plan, consistent with the objectives of the Higher Education Opportunity Act of 2011.”</w:t>
            </w:r>
          </w:p>
        </w:tc>
      </w:tr>
      <w:tr w:rsidR="00693FA1" w:rsidRPr="0000148A" w:rsidTr="001F0F1C">
        <w:tc>
          <w:tcPr>
            <w:tcW w:w="2771" w:type="dxa"/>
          </w:tcPr>
          <w:p w:rsidR="00693FA1" w:rsidRDefault="00693FA1" w:rsidP="00CC5530">
            <w:pPr>
              <w:rPr>
                <w:rFonts w:ascii="Arial" w:hAnsi="Arial" w:cs="Arial"/>
                <w:sz w:val="24"/>
              </w:rPr>
            </w:pPr>
            <w:r>
              <w:rPr>
                <w:rFonts w:ascii="Arial" w:hAnsi="Arial" w:cs="Arial"/>
                <w:sz w:val="24"/>
              </w:rPr>
              <w:t>Resource Reallocation</w:t>
            </w:r>
          </w:p>
        </w:tc>
        <w:tc>
          <w:tcPr>
            <w:tcW w:w="7309" w:type="dxa"/>
          </w:tcPr>
          <w:p w:rsidR="00693FA1" w:rsidRDefault="00693FA1" w:rsidP="005D4363">
            <w:pPr>
              <w:rPr>
                <w:rFonts w:ascii="Arial" w:hAnsi="Arial" w:cs="Arial"/>
                <w:sz w:val="24"/>
              </w:rPr>
            </w:pPr>
            <w:r>
              <w:rPr>
                <w:rFonts w:ascii="Arial" w:hAnsi="Arial" w:cs="Arial"/>
                <w:sz w:val="24"/>
              </w:rPr>
              <w:t>Language included in institutions’ E&amp;G budget</w:t>
            </w:r>
          </w:p>
          <w:p w:rsidR="00693FA1" w:rsidRDefault="00693FA1" w:rsidP="005D4363">
            <w:pPr>
              <w:rPr>
                <w:rFonts w:ascii="Arial" w:hAnsi="Arial" w:cs="Arial"/>
                <w:sz w:val="24"/>
              </w:rPr>
            </w:pPr>
          </w:p>
          <w:p w:rsidR="00693FA1" w:rsidRPr="005D4363" w:rsidRDefault="00693FA1" w:rsidP="005D4363">
            <w:pPr>
              <w:rPr>
                <w:rFonts w:ascii="Arial" w:hAnsi="Arial" w:cs="Arial"/>
                <w:sz w:val="24"/>
              </w:rPr>
            </w:pPr>
            <w:r>
              <w:rPr>
                <w:rFonts w:ascii="Arial" w:hAnsi="Arial" w:cs="Arial"/>
                <w:sz w:val="24"/>
              </w:rPr>
              <w:t xml:space="preserve">“The university shall reallocate two percent each year of its FY2014 general fund appropriation for educational and general programs for strategies that service to advance the objectives of the Higher Education Opportunity Act of 2011.  The amounts to be reallocated for this purpose are estimated at $XXX the first year and $XXX the second year.  These reallocations are in addition to previous reallocations implemented by the institution in the 2012-14 </w:t>
            </w:r>
            <w:proofErr w:type="gramStart"/>
            <w:r>
              <w:rPr>
                <w:rFonts w:ascii="Arial" w:hAnsi="Arial" w:cs="Arial"/>
                <w:sz w:val="24"/>
              </w:rPr>
              <w:t>biennium</w:t>
            </w:r>
            <w:proofErr w:type="gramEnd"/>
            <w:r>
              <w:rPr>
                <w:rFonts w:ascii="Arial" w:hAnsi="Arial" w:cs="Arial"/>
                <w:sz w:val="24"/>
              </w:rPr>
              <w:t>.  Specific programs and strategies for these reallocations shall be documented in the institution’s six-year plan.”</w:t>
            </w:r>
          </w:p>
        </w:tc>
      </w:tr>
      <w:tr w:rsidR="00BE2E4C" w:rsidRPr="0000148A" w:rsidTr="001F0F1C">
        <w:tc>
          <w:tcPr>
            <w:tcW w:w="2771" w:type="dxa"/>
          </w:tcPr>
          <w:p w:rsidR="00BE2E4C" w:rsidRPr="0000148A" w:rsidRDefault="00BE2E4C" w:rsidP="00CC5530">
            <w:pPr>
              <w:rPr>
                <w:rFonts w:ascii="Arial" w:hAnsi="Arial" w:cs="Arial"/>
                <w:sz w:val="24"/>
              </w:rPr>
            </w:pPr>
            <w:r>
              <w:rPr>
                <w:rFonts w:ascii="Arial" w:hAnsi="Arial" w:cs="Arial"/>
                <w:sz w:val="24"/>
              </w:rPr>
              <w:t>Implementing the TJ21 Legislation (General Provision 4-10.00)</w:t>
            </w:r>
          </w:p>
        </w:tc>
        <w:tc>
          <w:tcPr>
            <w:tcW w:w="7309" w:type="dxa"/>
          </w:tcPr>
          <w:p w:rsidR="00BE2E4C" w:rsidRPr="0000148A" w:rsidRDefault="00BE2E4C" w:rsidP="005D4363">
            <w:pPr>
              <w:rPr>
                <w:rFonts w:ascii="Arial" w:hAnsi="Arial" w:cs="Arial"/>
                <w:sz w:val="24"/>
              </w:rPr>
            </w:pPr>
            <w:r w:rsidRPr="005D4363">
              <w:rPr>
                <w:rFonts w:ascii="Arial" w:hAnsi="Arial" w:cs="Arial"/>
                <w:sz w:val="24"/>
              </w:rPr>
              <w:t>Th</w:t>
            </w:r>
            <w:r>
              <w:rPr>
                <w:rFonts w:ascii="Arial" w:hAnsi="Arial" w:cs="Arial"/>
                <w:sz w:val="24"/>
              </w:rPr>
              <w:t>e language</w:t>
            </w:r>
            <w:r w:rsidRPr="005D4363">
              <w:rPr>
                <w:rFonts w:ascii="Arial" w:hAnsi="Arial" w:cs="Arial"/>
                <w:sz w:val="24"/>
              </w:rPr>
              <w:t xml:space="preserve"> delineates the principles for providing funding to higher education institutions consistent with the funding elements identified under the Virginia Higher Edu</w:t>
            </w:r>
            <w:r>
              <w:rPr>
                <w:rFonts w:ascii="Arial" w:hAnsi="Arial" w:cs="Arial"/>
                <w:sz w:val="24"/>
              </w:rPr>
              <w:t>cation Opportunity Act of 2011.  (See attachment)</w:t>
            </w:r>
          </w:p>
        </w:tc>
      </w:tr>
      <w:tr w:rsidR="00BE2E4C" w:rsidRPr="0000148A" w:rsidTr="001F0F1C">
        <w:tc>
          <w:tcPr>
            <w:tcW w:w="2771" w:type="dxa"/>
          </w:tcPr>
          <w:p w:rsidR="00BE2E4C" w:rsidRDefault="00BE2E4C" w:rsidP="00CC5530">
            <w:pPr>
              <w:rPr>
                <w:rFonts w:ascii="Arial" w:hAnsi="Arial" w:cs="Arial"/>
                <w:sz w:val="24"/>
              </w:rPr>
            </w:pPr>
            <w:r>
              <w:rPr>
                <w:rFonts w:ascii="Arial" w:hAnsi="Arial" w:cs="Arial"/>
                <w:sz w:val="24"/>
              </w:rPr>
              <w:t>Higher Education Procurement Cooperative (General Provision 4-10.00.a &amp; 4-10.00.b)</w:t>
            </w:r>
          </w:p>
        </w:tc>
        <w:tc>
          <w:tcPr>
            <w:tcW w:w="7309" w:type="dxa"/>
          </w:tcPr>
          <w:p w:rsidR="00BE2E4C" w:rsidRDefault="00BE2E4C" w:rsidP="00CC5530">
            <w:pPr>
              <w:pStyle w:val="ListParagraph"/>
              <w:numPr>
                <w:ilvl w:val="0"/>
                <w:numId w:val="17"/>
              </w:numPr>
              <w:ind w:left="181" w:hanging="180"/>
              <w:rPr>
                <w:rFonts w:ascii="Arial" w:hAnsi="Arial" w:cs="Arial"/>
                <w:sz w:val="24"/>
              </w:rPr>
            </w:pPr>
            <w:r>
              <w:rPr>
                <w:rFonts w:ascii="Arial" w:hAnsi="Arial" w:cs="Arial"/>
                <w:sz w:val="24"/>
              </w:rPr>
              <w:t>Section 4-10.00.a establishes the Higher Education Procurement Cooperative to provide a formal network and structure to aggregate and leverage individual higher education institutional procurement requirement and resources to obtain financial advantage from cooperative procurement.</w:t>
            </w:r>
          </w:p>
          <w:p w:rsidR="00BE2E4C" w:rsidRPr="00CC5530" w:rsidRDefault="00BE2E4C" w:rsidP="00CC5530">
            <w:pPr>
              <w:pStyle w:val="ListParagraph"/>
              <w:numPr>
                <w:ilvl w:val="0"/>
                <w:numId w:val="17"/>
              </w:numPr>
              <w:ind w:left="181" w:hanging="180"/>
              <w:rPr>
                <w:rFonts w:ascii="Arial" w:hAnsi="Arial" w:cs="Arial"/>
                <w:sz w:val="24"/>
              </w:rPr>
            </w:pPr>
            <w:r>
              <w:rPr>
                <w:rFonts w:ascii="Arial" w:hAnsi="Arial" w:cs="Arial"/>
                <w:sz w:val="24"/>
              </w:rPr>
              <w:t xml:space="preserve">Section 4-10.00.b </w:t>
            </w:r>
            <w:proofErr w:type="gramStart"/>
            <w:r>
              <w:rPr>
                <w:rFonts w:ascii="Arial" w:hAnsi="Arial" w:cs="Arial"/>
                <w:sz w:val="24"/>
              </w:rPr>
              <w:t>delineate</w:t>
            </w:r>
            <w:proofErr w:type="gramEnd"/>
            <w:r>
              <w:rPr>
                <w:rFonts w:ascii="Arial" w:hAnsi="Arial" w:cs="Arial"/>
                <w:sz w:val="24"/>
              </w:rPr>
              <w:t xml:space="preserve"> a specific process for funding the elements identified under the Higher Education Opportunity Act of 2011.</w:t>
            </w:r>
          </w:p>
        </w:tc>
      </w:tr>
    </w:tbl>
    <w:p w:rsidR="00776B3A" w:rsidRDefault="00776B3A">
      <w:pPr>
        <w:rPr>
          <w:rFonts w:hint="eastAsia"/>
        </w:rPr>
      </w:pPr>
      <w:r>
        <w:rPr>
          <w:rFonts w:hint="eastAsia"/>
        </w:rPr>
        <w:br w:type="page"/>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1"/>
        <w:gridCol w:w="7309"/>
      </w:tblGrid>
      <w:tr w:rsidR="008D2428" w:rsidRPr="0000148A" w:rsidTr="001F0F1C">
        <w:tc>
          <w:tcPr>
            <w:tcW w:w="2771" w:type="dxa"/>
          </w:tcPr>
          <w:p w:rsidR="008D2428" w:rsidRPr="0000148A" w:rsidRDefault="008D2428" w:rsidP="008D2428">
            <w:pPr>
              <w:jc w:val="center"/>
              <w:rPr>
                <w:rFonts w:ascii="Arial" w:hAnsi="Arial" w:cs="Arial"/>
                <w:b/>
                <w:sz w:val="24"/>
              </w:rPr>
            </w:pPr>
            <w:r w:rsidRPr="0000148A">
              <w:rPr>
                <w:rFonts w:ascii="Arial" w:hAnsi="Arial" w:cs="Arial"/>
                <w:b/>
                <w:sz w:val="24"/>
              </w:rPr>
              <w:lastRenderedPageBreak/>
              <w:t>Item</w:t>
            </w:r>
          </w:p>
        </w:tc>
        <w:tc>
          <w:tcPr>
            <w:tcW w:w="7309" w:type="dxa"/>
          </w:tcPr>
          <w:p w:rsidR="008D2428" w:rsidRPr="0000148A" w:rsidRDefault="008D2428" w:rsidP="008D2428">
            <w:pPr>
              <w:jc w:val="center"/>
              <w:rPr>
                <w:rFonts w:ascii="Arial" w:hAnsi="Arial" w:cs="Arial"/>
                <w:b/>
                <w:sz w:val="24"/>
              </w:rPr>
            </w:pPr>
            <w:r w:rsidRPr="0000148A">
              <w:rPr>
                <w:rFonts w:ascii="Arial" w:hAnsi="Arial" w:cs="Arial"/>
                <w:b/>
                <w:sz w:val="24"/>
              </w:rPr>
              <w:t>201</w:t>
            </w:r>
            <w:r>
              <w:rPr>
                <w:rFonts w:ascii="Arial" w:hAnsi="Arial" w:cs="Arial"/>
                <w:b/>
                <w:sz w:val="24"/>
              </w:rPr>
              <w:t>4</w:t>
            </w:r>
            <w:r w:rsidRPr="0000148A">
              <w:rPr>
                <w:rFonts w:ascii="Arial" w:hAnsi="Arial" w:cs="Arial"/>
                <w:b/>
                <w:sz w:val="24"/>
              </w:rPr>
              <w:t>-1</w:t>
            </w:r>
            <w:r>
              <w:rPr>
                <w:rFonts w:ascii="Arial" w:hAnsi="Arial" w:cs="Arial"/>
                <w:b/>
                <w:sz w:val="24"/>
              </w:rPr>
              <w:t>6</w:t>
            </w:r>
            <w:r w:rsidRPr="0000148A">
              <w:rPr>
                <w:rFonts w:ascii="Arial" w:hAnsi="Arial" w:cs="Arial"/>
                <w:b/>
                <w:sz w:val="24"/>
              </w:rPr>
              <w:t xml:space="preserve"> Budget for </w:t>
            </w:r>
            <w:r>
              <w:rPr>
                <w:rFonts w:ascii="Arial" w:hAnsi="Arial" w:cs="Arial"/>
                <w:b/>
                <w:sz w:val="24"/>
              </w:rPr>
              <w:t>Capital Outlay</w:t>
            </w:r>
          </w:p>
        </w:tc>
      </w:tr>
      <w:tr w:rsidR="008D2428" w:rsidRPr="0000148A" w:rsidTr="001F0F1C">
        <w:tc>
          <w:tcPr>
            <w:tcW w:w="2771" w:type="dxa"/>
          </w:tcPr>
          <w:p w:rsidR="008D2428" w:rsidRDefault="008D2428" w:rsidP="00CC5530">
            <w:pPr>
              <w:rPr>
                <w:rFonts w:ascii="Arial" w:hAnsi="Arial" w:cs="Arial"/>
                <w:sz w:val="24"/>
              </w:rPr>
            </w:pPr>
            <w:r>
              <w:rPr>
                <w:rFonts w:ascii="Arial" w:hAnsi="Arial" w:cs="Arial"/>
                <w:sz w:val="24"/>
              </w:rPr>
              <w:t>Maintenance Reserve</w:t>
            </w:r>
          </w:p>
        </w:tc>
        <w:tc>
          <w:tcPr>
            <w:tcW w:w="7309" w:type="dxa"/>
          </w:tcPr>
          <w:p w:rsidR="008D2428" w:rsidRDefault="008D2428" w:rsidP="00AE59FF">
            <w:pPr>
              <w:pStyle w:val="ListParagraph"/>
              <w:numPr>
                <w:ilvl w:val="0"/>
                <w:numId w:val="21"/>
              </w:numPr>
              <w:ind w:left="181" w:hanging="180"/>
              <w:rPr>
                <w:rFonts w:ascii="Arial" w:hAnsi="Arial" w:cs="Arial"/>
                <w:sz w:val="24"/>
              </w:rPr>
            </w:pPr>
            <w:r>
              <w:rPr>
                <w:rFonts w:ascii="Arial" w:hAnsi="Arial" w:cs="Arial"/>
                <w:sz w:val="24"/>
              </w:rPr>
              <w:t>Provide a</w:t>
            </w:r>
            <w:r w:rsidRPr="00AE59FF">
              <w:rPr>
                <w:rFonts w:ascii="Arial" w:hAnsi="Arial" w:cs="Arial"/>
                <w:sz w:val="24"/>
              </w:rPr>
              <w:t xml:space="preserve"> total annual funding of $39.</w:t>
            </w:r>
            <w:r>
              <w:rPr>
                <w:rFonts w:ascii="Arial" w:hAnsi="Arial" w:cs="Arial"/>
                <w:sz w:val="24"/>
              </w:rPr>
              <w:t>2</w:t>
            </w:r>
            <w:r w:rsidRPr="00AE59FF">
              <w:rPr>
                <w:rFonts w:ascii="Arial" w:hAnsi="Arial" w:cs="Arial"/>
                <w:sz w:val="24"/>
              </w:rPr>
              <w:t xml:space="preserve"> million to higher education institutions and affiliates.</w:t>
            </w:r>
          </w:p>
          <w:p w:rsidR="008D2428" w:rsidRPr="00AE59FF" w:rsidRDefault="008D2428" w:rsidP="00C423DA">
            <w:pPr>
              <w:pStyle w:val="ListParagraph"/>
              <w:numPr>
                <w:ilvl w:val="0"/>
                <w:numId w:val="21"/>
              </w:numPr>
              <w:ind w:left="181" w:hanging="180"/>
              <w:rPr>
                <w:rFonts w:ascii="Arial" w:hAnsi="Arial" w:cs="Arial"/>
                <w:sz w:val="24"/>
              </w:rPr>
            </w:pPr>
            <w:r>
              <w:rPr>
                <w:rFonts w:ascii="Arial" w:hAnsi="Arial" w:cs="Arial"/>
                <w:sz w:val="24"/>
              </w:rPr>
              <w:t>Institutions are given flexibility to choose projects and report to DPB o</w:t>
            </w:r>
            <w:r w:rsidR="00C423DA">
              <w:rPr>
                <w:rFonts w:ascii="Arial" w:hAnsi="Arial" w:cs="Arial"/>
                <w:sz w:val="24"/>
              </w:rPr>
              <w:t>n</w:t>
            </w:r>
            <w:r>
              <w:rPr>
                <w:rFonts w:ascii="Arial" w:hAnsi="Arial" w:cs="Arial"/>
                <w:sz w:val="24"/>
              </w:rPr>
              <w:t xml:space="preserve"> the spending at year end.</w:t>
            </w:r>
          </w:p>
        </w:tc>
      </w:tr>
      <w:tr w:rsidR="008D2428" w:rsidRPr="0000148A" w:rsidTr="001F0F1C">
        <w:tc>
          <w:tcPr>
            <w:tcW w:w="2771" w:type="dxa"/>
          </w:tcPr>
          <w:p w:rsidR="008D2428" w:rsidRDefault="008D2428" w:rsidP="00CC5530">
            <w:pPr>
              <w:rPr>
                <w:rFonts w:ascii="Arial" w:hAnsi="Arial" w:cs="Arial"/>
                <w:sz w:val="24"/>
              </w:rPr>
            </w:pPr>
            <w:r>
              <w:rPr>
                <w:rFonts w:ascii="Arial" w:hAnsi="Arial" w:cs="Arial"/>
                <w:sz w:val="24"/>
              </w:rPr>
              <w:t>Equipment funding</w:t>
            </w:r>
          </w:p>
        </w:tc>
        <w:tc>
          <w:tcPr>
            <w:tcW w:w="7309" w:type="dxa"/>
          </w:tcPr>
          <w:p w:rsidR="008D2428" w:rsidRPr="008D2428" w:rsidRDefault="008D2428" w:rsidP="008D2428">
            <w:pPr>
              <w:ind w:left="1"/>
              <w:rPr>
                <w:rFonts w:ascii="Arial" w:hAnsi="Arial" w:cs="Arial"/>
                <w:sz w:val="24"/>
              </w:rPr>
            </w:pPr>
            <w:r>
              <w:rPr>
                <w:rFonts w:ascii="Arial" w:hAnsi="Arial" w:cs="Arial"/>
                <w:sz w:val="24"/>
              </w:rPr>
              <w:t>Provide funding in central accounts to be disbursed to agencies and</w:t>
            </w:r>
            <w:r w:rsidR="00221BA8">
              <w:rPr>
                <w:rFonts w:ascii="Arial" w:hAnsi="Arial" w:cs="Arial"/>
                <w:sz w:val="24"/>
              </w:rPr>
              <w:t xml:space="preserve"> institutions of higher education for equipment purchases related to previously authorized capital projects ($20.6 million)</w:t>
            </w:r>
          </w:p>
        </w:tc>
      </w:tr>
      <w:tr w:rsidR="008D2428" w:rsidRPr="0000148A" w:rsidTr="001F0F1C">
        <w:tc>
          <w:tcPr>
            <w:tcW w:w="2771" w:type="dxa"/>
          </w:tcPr>
          <w:p w:rsidR="008D2428" w:rsidRDefault="00221BA8" w:rsidP="00CC5530">
            <w:pPr>
              <w:rPr>
                <w:rFonts w:ascii="Arial" w:hAnsi="Arial" w:cs="Arial"/>
                <w:sz w:val="24"/>
              </w:rPr>
            </w:pPr>
            <w:r>
              <w:rPr>
                <w:rFonts w:ascii="Arial" w:hAnsi="Arial" w:cs="Arial"/>
                <w:sz w:val="24"/>
              </w:rPr>
              <w:t xml:space="preserve">Planning funds </w:t>
            </w:r>
          </w:p>
        </w:tc>
        <w:tc>
          <w:tcPr>
            <w:tcW w:w="7309" w:type="dxa"/>
          </w:tcPr>
          <w:p w:rsidR="00221BA8" w:rsidRPr="008D2428" w:rsidRDefault="00221BA8" w:rsidP="00221BA8">
            <w:pPr>
              <w:ind w:left="1"/>
              <w:rPr>
                <w:rFonts w:ascii="Arial" w:hAnsi="Arial" w:cs="Arial"/>
                <w:sz w:val="24"/>
              </w:rPr>
            </w:pPr>
            <w:r>
              <w:rPr>
                <w:rFonts w:ascii="Arial" w:hAnsi="Arial" w:cs="Arial"/>
                <w:sz w:val="24"/>
              </w:rPr>
              <w:t>Due to a private donation, authorizes planning funds for a project at Lord Fairfax Community College</w:t>
            </w:r>
          </w:p>
        </w:tc>
      </w:tr>
      <w:tr w:rsidR="008D2428" w:rsidRPr="0000148A" w:rsidTr="001F0F1C">
        <w:tc>
          <w:tcPr>
            <w:tcW w:w="2771" w:type="dxa"/>
          </w:tcPr>
          <w:p w:rsidR="008D2428" w:rsidRDefault="00221BA8" w:rsidP="00CC5530">
            <w:pPr>
              <w:rPr>
                <w:rFonts w:ascii="Arial" w:hAnsi="Arial" w:cs="Arial"/>
                <w:sz w:val="24"/>
              </w:rPr>
            </w:pPr>
            <w:r>
              <w:rPr>
                <w:rFonts w:ascii="Arial" w:hAnsi="Arial" w:cs="Arial"/>
                <w:sz w:val="24"/>
              </w:rPr>
              <w:t>Capital outlay package</w:t>
            </w:r>
          </w:p>
        </w:tc>
        <w:tc>
          <w:tcPr>
            <w:tcW w:w="7309" w:type="dxa"/>
          </w:tcPr>
          <w:p w:rsidR="008D2428" w:rsidRPr="008D2428" w:rsidRDefault="00221BA8" w:rsidP="008D2428">
            <w:pPr>
              <w:ind w:left="1"/>
              <w:rPr>
                <w:rFonts w:ascii="Arial" w:hAnsi="Arial" w:cs="Arial"/>
                <w:sz w:val="24"/>
              </w:rPr>
            </w:pPr>
            <w:r>
              <w:rPr>
                <w:rFonts w:ascii="Arial" w:hAnsi="Arial" w:cs="Arial"/>
                <w:sz w:val="24"/>
              </w:rPr>
              <w:t xml:space="preserve">No major capital outlay package for higher education in the 2014-16 </w:t>
            </w:r>
            <w:proofErr w:type="gramStart"/>
            <w:r>
              <w:rPr>
                <w:rFonts w:ascii="Arial" w:hAnsi="Arial" w:cs="Arial"/>
                <w:sz w:val="24"/>
              </w:rPr>
              <w:t>biennium</w:t>
            </w:r>
            <w:proofErr w:type="gramEnd"/>
            <w:r>
              <w:rPr>
                <w:rFonts w:ascii="Arial" w:hAnsi="Arial" w:cs="Arial"/>
                <w:sz w:val="24"/>
              </w:rPr>
              <w:t>.</w:t>
            </w:r>
          </w:p>
        </w:tc>
      </w:tr>
    </w:tbl>
    <w:p w:rsidR="00221BA8" w:rsidRDefault="00221BA8" w:rsidP="008B13F7">
      <w:pPr>
        <w:rPr>
          <w:rFonts w:ascii="Arial" w:hAnsi="Arial" w:cs="Arial"/>
          <w:b/>
          <w:sz w:val="24"/>
          <w:szCs w:val="24"/>
        </w:rPr>
      </w:pPr>
    </w:p>
    <w:p w:rsidR="00221BA8" w:rsidRDefault="00221BA8">
      <w:pPr>
        <w:rPr>
          <w:rFonts w:ascii="Arial" w:hAnsi="Arial" w:cs="Arial"/>
          <w:b/>
          <w:sz w:val="24"/>
          <w:szCs w:val="24"/>
        </w:rPr>
      </w:pPr>
      <w:r>
        <w:rPr>
          <w:rFonts w:ascii="Arial" w:hAnsi="Arial" w:cs="Arial"/>
          <w:b/>
          <w:sz w:val="24"/>
          <w:szCs w:val="24"/>
        </w:rPr>
        <w:br w:type="page"/>
      </w:r>
    </w:p>
    <w:p w:rsidR="008B13F7" w:rsidRPr="00AE5F62" w:rsidRDefault="008B13F7" w:rsidP="008B13F7">
      <w:pPr>
        <w:rPr>
          <w:rFonts w:ascii="Arial" w:hAnsi="Arial" w:cs="Arial"/>
          <w:b/>
          <w:sz w:val="24"/>
          <w:szCs w:val="24"/>
        </w:rPr>
      </w:pPr>
      <w:r w:rsidRPr="00AE5F62">
        <w:rPr>
          <w:rFonts w:ascii="Arial" w:hAnsi="Arial" w:cs="Arial"/>
          <w:b/>
          <w:sz w:val="24"/>
          <w:szCs w:val="24"/>
        </w:rPr>
        <w:lastRenderedPageBreak/>
        <w:t>§ 4-10.00 IMPLEMENTING VIRGINIA HIGHER EDUCATION OPPORTUNITY ACT OF 2011</w:t>
      </w:r>
    </w:p>
    <w:p w:rsidR="008B13F7" w:rsidRPr="00AE5F62" w:rsidRDefault="008B13F7" w:rsidP="008B13F7">
      <w:pPr>
        <w:rPr>
          <w:rFonts w:ascii="Arial" w:hAnsi="Arial" w:cs="Arial"/>
          <w:b/>
          <w:sz w:val="24"/>
          <w:szCs w:val="24"/>
        </w:rPr>
      </w:pPr>
    </w:p>
    <w:p w:rsidR="008B13F7" w:rsidRPr="00AE5F62" w:rsidRDefault="008B13F7" w:rsidP="008B13F7">
      <w:pPr>
        <w:rPr>
          <w:rFonts w:ascii="Arial" w:hAnsi="Arial" w:cs="Arial"/>
          <w:sz w:val="24"/>
          <w:szCs w:val="24"/>
        </w:rPr>
      </w:pPr>
      <w:r w:rsidRPr="00AE5F62">
        <w:rPr>
          <w:rFonts w:ascii="Arial" w:hAnsi="Arial" w:cs="Arial"/>
          <w:sz w:val="24"/>
          <w:szCs w:val="24"/>
        </w:rPr>
        <w:t xml:space="preserve">a. The Higher Education Opportunity Act of 2011 (HEOA) or "Top Jobs Act" has as one of its three areas of focus, </w:t>
      </w:r>
      <w:proofErr w:type="gramStart"/>
      <w:r w:rsidRPr="00AE5F62">
        <w:rPr>
          <w:rFonts w:ascii="Arial" w:hAnsi="Arial" w:cs="Arial"/>
          <w:sz w:val="24"/>
          <w:szCs w:val="24"/>
        </w:rPr>
        <w:t>reformed  based</w:t>
      </w:r>
      <w:proofErr w:type="gramEnd"/>
      <w:r w:rsidRPr="00AE5F62">
        <w:rPr>
          <w:rFonts w:ascii="Arial" w:hAnsi="Arial" w:cs="Arial"/>
          <w:sz w:val="24"/>
          <w:szCs w:val="24"/>
        </w:rPr>
        <w:t xml:space="preserve"> investment to include development of collaborative initiatives among the Commonwealth’s public and private non-profit 4 institutions of higher education, as well as implementation of operational efficiencies that allow for the redirection of resources to meet high priority needs reflected in the HEOA. To advance the objectives of the "Top Jobs Act" there is hereby authorized the establishment of the Higher Education Procurement Cooperative ("the Procurement Cooperative"). The Procurement Cooperative is a consortium of non-profit public four-year and two-year institutions and independent non-profit private institutions of higher education in the Commonwealth of Virginia. Its purpose is to provide a formal network and structure to aggregate and leverage individual higher education institutional procurement requirements and resources to obtain financial advantage from cooperative procurement. The Procurement Cooperative will be organized under the umbrella of the Virginia Association of State College and University Purchasing Professionals (VASCUPP). It will be governed by a Leadership Council comprised of twelve members as follows: representatives from the six public doctoral institutions; three representatives elected from among the nine four-year public comprehensive institutions and Richard Bland College (two-year institution); two representatives of the Virginia Community College System appointed by the Chancellor; and one representative of the private non-profit institutions appointed by the Council of Independent Colleges in Virginia, Inc. Public non-profit institutions of higher education that are not members of VASCUPP are authorized to use the cooperative contracts negotiated by the Procurement Cooperative without prior approval of the Division of Purchases and Supply of the Department of General Services.</w:t>
      </w:r>
    </w:p>
    <w:p w:rsidR="008B13F7" w:rsidRPr="00AE5F62" w:rsidRDefault="008B13F7" w:rsidP="008B13F7">
      <w:pPr>
        <w:rPr>
          <w:rFonts w:ascii="Arial" w:hAnsi="Arial" w:cs="Arial"/>
          <w:sz w:val="24"/>
          <w:szCs w:val="24"/>
        </w:rPr>
      </w:pPr>
    </w:p>
    <w:p w:rsidR="008B13F7" w:rsidRPr="00AE5F62" w:rsidRDefault="008B13F7" w:rsidP="008B13F7">
      <w:pPr>
        <w:rPr>
          <w:rFonts w:ascii="Arial" w:hAnsi="Arial" w:cs="Arial"/>
          <w:sz w:val="24"/>
          <w:szCs w:val="24"/>
        </w:rPr>
      </w:pPr>
      <w:r w:rsidRPr="00AE5F62">
        <w:rPr>
          <w:rFonts w:ascii="Arial" w:hAnsi="Arial" w:cs="Arial"/>
          <w:sz w:val="24"/>
          <w:szCs w:val="24"/>
        </w:rPr>
        <w:t>b. The following language more specifically delineates the process for providing funding to higher education institutions consistent with the funding elements identified under the Virginia Higher Education Opportunity Act of 2011:</w:t>
      </w:r>
    </w:p>
    <w:p w:rsidR="00AE5F62" w:rsidRDefault="00AE5F62" w:rsidP="008B13F7">
      <w:pPr>
        <w:rPr>
          <w:rFonts w:ascii="Arial" w:hAnsi="Arial" w:cs="Arial"/>
          <w:sz w:val="24"/>
          <w:szCs w:val="24"/>
        </w:rPr>
      </w:pPr>
    </w:p>
    <w:p w:rsidR="008B13F7" w:rsidRPr="00AE5F62" w:rsidRDefault="008B13F7" w:rsidP="008B13F7">
      <w:pPr>
        <w:rPr>
          <w:rFonts w:ascii="Arial" w:hAnsi="Arial" w:cs="Arial"/>
          <w:sz w:val="24"/>
          <w:szCs w:val="24"/>
        </w:rPr>
      </w:pPr>
      <w:r w:rsidRPr="00AE5F62">
        <w:rPr>
          <w:rFonts w:ascii="Arial" w:hAnsi="Arial" w:cs="Arial"/>
          <w:sz w:val="24"/>
          <w:szCs w:val="24"/>
        </w:rPr>
        <w:t>1. For any general fund support provided to institutions of higher education beyond the budgeted general fund appropriation in the education and general, financial aid and sponsored programs, 30 percent shall be directed to base operations and financial aid to help maintain affordability at the institutions, and 70 percent to performance objectives including enrollment growth, incentive funding and initiatives to help achieve the goals and objectives of the "Top Jobs Act". Within this broader framework, the following allocation percentages shall be used:</w:t>
      </w:r>
    </w:p>
    <w:p w:rsidR="008B13F7" w:rsidRPr="00AE5F62" w:rsidRDefault="008B13F7" w:rsidP="008B13F7">
      <w:pPr>
        <w:rPr>
          <w:rFonts w:ascii="Arial" w:hAnsi="Arial" w:cs="Arial"/>
          <w:sz w:val="24"/>
          <w:szCs w:val="24"/>
        </w:rPr>
      </w:pPr>
    </w:p>
    <w:p w:rsidR="008B13F7" w:rsidRPr="00AE5F62" w:rsidRDefault="008B13F7" w:rsidP="008B13F7">
      <w:pPr>
        <w:rPr>
          <w:rFonts w:ascii="Arial" w:hAnsi="Arial" w:cs="Arial"/>
          <w:sz w:val="24"/>
          <w:szCs w:val="24"/>
        </w:rPr>
      </w:pPr>
      <w:r w:rsidRPr="00AE5F62">
        <w:rPr>
          <w:rFonts w:ascii="Arial" w:hAnsi="Arial" w:cs="Arial"/>
          <w:sz w:val="24"/>
          <w:szCs w:val="24"/>
        </w:rPr>
        <w:t>a) Nine percent for base operations support, with a goal to ensure every institution of higher education is meeting at least 92 percent of the base adequacy calculation.</w:t>
      </w:r>
    </w:p>
    <w:p w:rsidR="008B13F7" w:rsidRPr="00AE5F62" w:rsidRDefault="008B13F7" w:rsidP="008B13F7">
      <w:pPr>
        <w:rPr>
          <w:rFonts w:ascii="Arial" w:hAnsi="Arial" w:cs="Arial"/>
          <w:sz w:val="24"/>
          <w:szCs w:val="24"/>
        </w:rPr>
      </w:pPr>
    </w:p>
    <w:p w:rsidR="008B13F7" w:rsidRPr="00AE5F62" w:rsidRDefault="008B13F7" w:rsidP="008B13F7">
      <w:pPr>
        <w:rPr>
          <w:rFonts w:ascii="Arial" w:hAnsi="Arial" w:cs="Arial"/>
          <w:sz w:val="24"/>
          <w:szCs w:val="24"/>
        </w:rPr>
      </w:pPr>
      <w:r w:rsidRPr="00AE5F62">
        <w:rPr>
          <w:rFonts w:ascii="Arial" w:hAnsi="Arial" w:cs="Arial"/>
          <w:sz w:val="24"/>
          <w:szCs w:val="24"/>
        </w:rPr>
        <w:t>b) Twenty-one percent for financial aid, with an emphasis towards addressing middle income students and supporting work study programs;</w:t>
      </w:r>
    </w:p>
    <w:p w:rsidR="008B13F7" w:rsidRPr="00AE5F62" w:rsidRDefault="008B13F7" w:rsidP="008B13F7">
      <w:pPr>
        <w:rPr>
          <w:rFonts w:ascii="Arial" w:hAnsi="Arial" w:cs="Arial"/>
          <w:sz w:val="24"/>
          <w:szCs w:val="24"/>
        </w:rPr>
      </w:pPr>
    </w:p>
    <w:p w:rsidR="008B13F7" w:rsidRPr="00AE5F62" w:rsidRDefault="008B13F7" w:rsidP="008B13F7">
      <w:pPr>
        <w:rPr>
          <w:rFonts w:ascii="Arial" w:hAnsi="Arial" w:cs="Arial"/>
          <w:sz w:val="24"/>
          <w:szCs w:val="24"/>
        </w:rPr>
      </w:pPr>
      <w:r w:rsidRPr="00AE5F62">
        <w:rPr>
          <w:rFonts w:ascii="Arial" w:hAnsi="Arial" w:cs="Arial"/>
          <w:sz w:val="24"/>
          <w:szCs w:val="24"/>
        </w:rPr>
        <w:lastRenderedPageBreak/>
        <w:t>c) Fourteen percent for enrollment growth. Such funding should be spread proportionately to each institution of higher education with enrollment growth of undergraduate Virginians;</w:t>
      </w:r>
    </w:p>
    <w:p w:rsidR="008B13F7" w:rsidRPr="00AE5F62" w:rsidRDefault="008B13F7" w:rsidP="008B13F7">
      <w:pPr>
        <w:rPr>
          <w:rFonts w:ascii="Arial" w:hAnsi="Arial" w:cs="Arial"/>
          <w:sz w:val="24"/>
          <w:szCs w:val="24"/>
        </w:rPr>
      </w:pPr>
    </w:p>
    <w:p w:rsidR="008B13F7" w:rsidRPr="00AE5F62" w:rsidRDefault="008B13F7" w:rsidP="008B13F7">
      <w:pPr>
        <w:rPr>
          <w:rFonts w:ascii="Arial" w:hAnsi="Arial" w:cs="Arial"/>
          <w:sz w:val="24"/>
          <w:szCs w:val="24"/>
        </w:rPr>
      </w:pPr>
      <w:proofErr w:type="gramStart"/>
      <w:r w:rsidRPr="00AE5F62">
        <w:rPr>
          <w:rFonts w:ascii="Arial" w:hAnsi="Arial" w:cs="Arial"/>
          <w:sz w:val="24"/>
          <w:szCs w:val="24"/>
        </w:rPr>
        <w:t>d</w:t>
      </w:r>
      <w:proofErr w:type="gramEnd"/>
      <w:r w:rsidRPr="00AE5F62">
        <w:rPr>
          <w:rFonts w:ascii="Arial" w:hAnsi="Arial" w:cs="Arial"/>
          <w:sz w:val="24"/>
          <w:szCs w:val="24"/>
        </w:rPr>
        <w:t>) Forty-two percent for incentive funding, recognizing the accomplishments of institutions in meeting the goals and objectives of the "Top Jobs Act"; and,</w:t>
      </w:r>
    </w:p>
    <w:p w:rsidR="008B13F7" w:rsidRPr="00AE5F62" w:rsidRDefault="008B13F7" w:rsidP="008B13F7">
      <w:pPr>
        <w:rPr>
          <w:rFonts w:ascii="Arial" w:hAnsi="Arial" w:cs="Arial"/>
          <w:sz w:val="24"/>
          <w:szCs w:val="24"/>
        </w:rPr>
      </w:pPr>
    </w:p>
    <w:p w:rsidR="008B13F7" w:rsidRPr="00AE5F62" w:rsidRDefault="008B13F7" w:rsidP="008B13F7">
      <w:pPr>
        <w:rPr>
          <w:rFonts w:ascii="Arial" w:hAnsi="Arial" w:cs="Arial"/>
          <w:sz w:val="24"/>
          <w:szCs w:val="24"/>
        </w:rPr>
      </w:pPr>
      <w:r w:rsidRPr="00AE5F62">
        <w:rPr>
          <w:rFonts w:ascii="Arial" w:hAnsi="Arial" w:cs="Arial"/>
          <w:sz w:val="24"/>
          <w:szCs w:val="24"/>
        </w:rPr>
        <w:t>e) Fourteen percent for research and other initiatives to recognize the importance of research to innovation and economic development in Virginia and to support institution-specific efforts to enhance student retention, graduation, and other "Top Jobs Act" goals and objectives.</w:t>
      </w:r>
    </w:p>
    <w:p w:rsidR="008B13F7" w:rsidRPr="00AE5F62" w:rsidRDefault="008B13F7" w:rsidP="008B13F7">
      <w:pPr>
        <w:rPr>
          <w:rFonts w:ascii="Arial" w:hAnsi="Arial" w:cs="Arial"/>
          <w:sz w:val="24"/>
          <w:szCs w:val="24"/>
        </w:rPr>
      </w:pPr>
    </w:p>
    <w:p w:rsidR="008B13F7" w:rsidRPr="00AE5F62" w:rsidRDefault="008B13F7" w:rsidP="008B13F7">
      <w:pPr>
        <w:rPr>
          <w:rFonts w:ascii="Arial" w:hAnsi="Arial" w:cs="Arial"/>
          <w:sz w:val="24"/>
          <w:szCs w:val="24"/>
        </w:rPr>
      </w:pPr>
      <w:r w:rsidRPr="00AE5F62">
        <w:rPr>
          <w:rFonts w:ascii="Arial" w:hAnsi="Arial" w:cs="Arial"/>
          <w:sz w:val="24"/>
          <w:szCs w:val="24"/>
        </w:rPr>
        <w:t>2. For base funding support, the allocation shall be spread among institutions based on the most recent iteration of the base adequacy model, as calculated by the State Council of Higher Education for Virginia;</w:t>
      </w:r>
    </w:p>
    <w:p w:rsidR="008B13F7" w:rsidRPr="00AE5F62" w:rsidRDefault="008B13F7" w:rsidP="008B13F7">
      <w:pPr>
        <w:rPr>
          <w:rFonts w:ascii="Arial" w:hAnsi="Arial" w:cs="Arial"/>
          <w:sz w:val="24"/>
          <w:szCs w:val="24"/>
        </w:rPr>
      </w:pPr>
    </w:p>
    <w:p w:rsidR="008B13F7" w:rsidRPr="00AE5F62" w:rsidRDefault="008B13F7" w:rsidP="008B13F7">
      <w:pPr>
        <w:rPr>
          <w:rFonts w:ascii="Arial" w:hAnsi="Arial" w:cs="Arial"/>
          <w:sz w:val="24"/>
          <w:szCs w:val="24"/>
        </w:rPr>
      </w:pPr>
      <w:r w:rsidRPr="00AE5F62">
        <w:rPr>
          <w:rFonts w:ascii="Arial" w:hAnsi="Arial" w:cs="Arial"/>
          <w:sz w:val="24"/>
          <w:szCs w:val="24"/>
        </w:rPr>
        <w:t xml:space="preserve">3. The calculation for enrollment growth of undergraduate Virginians for which any funding shall be prorated as follows: </w:t>
      </w:r>
      <w:proofErr w:type="spellStart"/>
      <w:r w:rsidRPr="00AE5F62">
        <w:rPr>
          <w:rFonts w:ascii="Arial" w:hAnsi="Arial" w:cs="Arial"/>
          <w:sz w:val="24"/>
          <w:szCs w:val="24"/>
        </w:rPr>
        <w:t>i</w:t>
      </w:r>
      <w:proofErr w:type="spellEnd"/>
      <w:r w:rsidRPr="00AE5F62">
        <w:rPr>
          <w:rFonts w:ascii="Arial" w:hAnsi="Arial" w:cs="Arial"/>
          <w:sz w:val="24"/>
          <w:szCs w:val="24"/>
        </w:rPr>
        <w:t>) For four-year institutions, the amount provided per student shall equal the amount awarded to students under the Tuition Assistance Grant (TAG) Program for private institutions; ii) For two-year institutions, the amount provided per student shall be $1,000 less than the TAG grant award; and iii) The difference in enrollment between the most recent year for which there is actual enrollment data as compared to the highest of the next two years of projected enrollment growth shall be used to calculate enrollment growth.</w:t>
      </w:r>
    </w:p>
    <w:p w:rsidR="00AE5F62" w:rsidRDefault="00AE5F62" w:rsidP="008B13F7">
      <w:pPr>
        <w:rPr>
          <w:rFonts w:ascii="Arial" w:hAnsi="Arial" w:cs="Arial"/>
          <w:sz w:val="24"/>
          <w:szCs w:val="24"/>
        </w:rPr>
      </w:pPr>
    </w:p>
    <w:p w:rsidR="008B13F7" w:rsidRPr="00AE5F62" w:rsidRDefault="008B13F7" w:rsidP="008B13F7">
      <w:pPr>
        <w:rPr>
          <w:rFonts w:ascii="Arial" w:hAnsi="Arial" w:cs="Arial"/>
          <w:sz w:val="24"/>
          <w:szCs w:val="24"/>
        </w:rPr>
      </w:pPr>
      <w:r w:rsidRPr="00AE5F62">
        <w:rPr>
          <w:rFonts w:ascii="Arial" w:hAnsi="Arial" w:cs="Arial"/>
          <w:sz w:val="24"/>
          <w:szCs w:val="24"/>
        </w:rPr>
        <w:t xml:space="preserve">4. For incentive funding, the model circulated by the college presidents to the 2011 Higher Education Advisory Committee (Advisory Committee) shall be used to distribute the allocated funding. This model distributes funding proportionately to those schools that graduate the most students, and which have a greater percentage of students that graduate with science, technology, engineering, math or health care majors, as well as graduating more underrepresented students. This model can be adjusted for identified improvements as recommended by the Advisory Committee in the future. </w:t>
      </w:r>
    </w:p>
    <w:p w:rsidR="008B13F7" w:rsidRPr="00AE5F62" w:rsidRDefault="008B13F7" w:rsidP="008B13F7">
      <w:pPr>
        <w:rPr>
          <w:rFonts w:ascii="Arial" w:hAnsi="Arial" w:cs="Arial"/>
          <w:sz w:val="24"/>
          <w:szCs w:val="24"/>
        </w:rPr>
      </w:pPr>
    </w:p>
    <w:p w:rsidR="008B13F7" w:rsidRPr="00AE5F62" w:rsidRDefault="008B13F7" w:rsidP="008B13F7">
      <w:pPr>
        <w:rPr>
          <w:rFonts w:ascii="Arial" w:hAnsi="Arial" w:cs="Arial"/>
          <w:sz w:val="24"/>
          <w:szCs w:val="24"/>
        </w:rPr>
      </w:pPr>
      <w:r w:rsidRPr="00AE5F62">
        <w:rPr>
          <w:rFonts w:ascii="Arial" w:hAnsi="Arial" w:cs="Arial"/>
          <w:sz w:val="24"/>
          <w:szCs w:val="24"/>
        </w:rPr>
        <w:t>5. The allocation for financial aid funding is intended to enhance affordability for both low-income and middle-income students and their families, as well as for enhancement of work study programs. It shall be spread among the institutions of higher education based on the State Council of Higher Education for Virginia’s Partnership Model. The funding provided shall be distributed appropriately to address each institution’s funding shortfall, with a goal of providing additional resources to those institutions showing the greatest shortfall in the Partnership Model. For purposes of this funding, the federal percent-of-poverty index used to define low and middle income families is as follows: Low income would fall below 200 percent; and middle income would be in the range of 200 to 400 percent. Institutions shall report annually on their implementation of this policy</w:t>
      </w:r>
      <w:r w:rsidR="00D2050B" w:rsidRPr="00AE5F62">
        <w:rPr>
          <w:rFonts w:ascii="Arial" w:hAnsi="Arial" w:cs="Arial"/>
          <w:sz w:val="24"/>
          <w:szCs w:val="24"/>
        </w:rPr>
        <w:t xml:space="preserve"> </w:t>
      </w:r>
      <w:r w:rsidRPr="00AE5F62">
        <w:rPr>
          <w:rFonts w:ascii="Arial" w:hAnsi="Arial" w:cs="Arial"/>
          <w:sz w:val="24"/>
          <w:szCs w:val="24"/>
        </w:rPr>
        <w:t>via the six-year planning process established under the "Top Jobs Act".</w:t>
      </w:r>
    </w:p>
    <w:p w:rsidR="00D2050B" w:rsidRPr="00AE5F62" w:rsidRDefault="00D2050B" w:rsidP="008B13F7">
      <w:pPr>
        <w:rPr>
          <w:rFonts w:ascii="Arial" w:hAnsi="Arial" w:cs="Arial"/>
          <w:sz w:val="24"/>
          <w:szCs w:val="24"/>
        </w:rPr>
      </w:pPr>
    </w:p>
    <w:p w:rsidR="008B13F7" w:rsidRPr="00AE5F62" w:rsidRDefault="008B13F7" w:rsidP="008B13F7">
      <w:pPr>
        <w:rPr>
          <w:rFonts w:ascii="Arial" w:hAnsi="Arial" w:cs="Arial"/>
          <w:sz w:val="24"/>
          <w:szCs w:val="24"/>
        </w:rPr>
      </w:pPr>
      <w:r w:rsidRPr="00AE5F62">
        <w:rPr>
          <w:rFonts w:ascii="Arial" w:hAnsi="Arial" w:cs="Arial"/>
          <w:sz w:val="24"/>
          <w:szCs w:val="24"/>
        </w:rPr>
        <w:lastRenderedPageBreak/>
        <w:t>6. The funding allocated for research initiatives shall be provided for efforts included in an institution’s six-year plan, that will</w:t>
      </w:r>
      <w:r w:rsidR="00D2050B" w:rsidRPr="00AE5F62">
        <w:rPr>
          <w:rFonts w:ascii="Arial" w:hAnsi="Arial" w:cs="Arial"/>
          <w:sz w:val="24"/>
          <w:szCs w:val="24"/>
        </w:rPr>
        <w:t xml:space="preserve"> </w:t>
      </w:r>
      <w:r w:rsidRPr="00AE5F62">
        <w:rPr>
          <w:rFonts w:ascii="Arial" w:hAnsi="Arial" w:cs="Arial"/>
          <w:sz w:val="24"/>
          <w:szCs w:val="24"/>
        </w:rPr>
        <w:t>result in matching grant or investment funding equal to at least two times the amount of state support over a three-year period,</w:t>
      </w:r>
      <w:r w:rsidR="00D2050B" w:rsidRPr="00AE5F62">
        <w:rPr>
          <w:rFonts w:ascii="Arial" w:hAnsi="Arial" w:cs="Arial"/>
          <w:sz w:val="24"/>
          <w:szCs w:val="24"/>
        </w:rPr>
        <w:t xml:space="preserve"> </w:t>
      </w:r>
      <w:r w:rsidRPr="00AE5F62">
        <w:rPr>
          <w:rFonts w:ascii="Arial" w:hAnsi="Arial" w:cs="Arial"/>
          <w:sz w:val="24"/>
          <w:szCs w:val="24"/>
        </w:rPr>
        <w:t>or which will result in the commercialization of a product. Institutions receiving funding shall also provide an annual report</w:t>
      </w:r>
      <w:r w:rsidR="00D2050B" w:rsidRPr="00AE5F62">
        <w:rPr>
          <w:rFonts w:ascii="Arial" w:hAnsi="Arial" w:cs="Arial"/>
          <w:sz w:val="24"/>
          <w:szCs w:val="24"/>
        </w:rPr>
        <w:t xml:space="preserve"> </w:t>
      </w:r>
      <w:r w:rsidRPr="00AE5F62">
        <w:rPr>
          <w:rFonts w:ascii="Arial" w:hAnsi="Arial" w:cs="Arial"/>
          <w:sz w:val="24"/>
          <w:szCs w:val="24"/>
        </w:rPr>
        <w:t>being submitted to the Governor, Secretaries of Finance, Education, Technology and Commerce and Trade, as well as the</w:t>
      </w:r>
      <w:r w:rsidR="00D2050B" w:rsidRPr="00AE5F62">
        <w:rPr>
          <w:rFonts w:ascii="Arial" w:hAnsi="Arial" w:cs="Arial"/>
          <w:sz w:val="24"/>
          <w:szCs w:val="24"/>
        </w:rPr>
        <w:t xml:space="preserve"> </w:t>
      </w:r>
      <w:r w:rsidRPr="00AE5F62">
        <w:rPr>
          <w:rFonts w:ascii="Arial" w:hAnsi="Arial" w:cs="Arial"/>
          <w:sz w:val="24"/>
          <w:szCs w:val="24"/>
        </w:rPr>
        <w:t>Chairmen of the House Appropriations and Senate Finance Committees, and the Director, Department of Planning and Budget,</w:t>
      </w:r>
      <w:r w:rsidR="00D2050B" w:rsidRPr="00AE5F62">
        <w:rPr>
          <w:rFonts w:ascii="Arial" w:hAnsi="Arial" w:cs="Arial"/>
          <w:sz w:val="24"/>
          <w:szCs w:val="24"/>
        </w:rPr>
        <w:t xml:space="preserve"> </w:t>
      </w:r>
      <w:r w:rsidRPr="00AE5F62">
        <w:rPr>
          <w:rFonts w:ascii="Arial" w:hAnsi="Arial" w:cs="Arial"/>
          <w:sz w:val="24"/>
          <w:szCs w:val="24"/>
        </w:rPr>
        <w:t>identifying the institution’s research accomplishments, including the return on the Commonwealth’s investment.</w:t>
      </w:r>
      <w:r w:rsidR="00D2050B" w:rsidRPr="00AE5F62">
        <w:rPr>
          <w:rFonts w:ascii="Arial" w:hAnsi="Arial" w:cs="Arial"/>
          <w:sz w:val="24"/>
          <w:szCs w:val="24"/>
        </w:rPr>
        <w:t xml:space="preserve"> </w:t>
      </w:r>
    </w:p>
    <w:p w:rsidR="00D2050B" w:rsidRPr="00AE5F62" w:rsidRDefault="00D2050B" w:rsidP="008B13F7">
      <w:pPr>
        <w:rPr>
          <w:rFonts w:ascii="Arial" w:hAnsi="Arial" w:cs="Arial"/>
          <w:sz w:val="24"/>
          <w:szCs w:val="24"/>
        </w:rPr>
      </w:pPr>
    </w:p>
    <w:p w:rsidR="008B13F7" w:rsidRPr="00AE5F62" w:rsidRDefault="008B13F7" w:rsidP="008B13F7">
      <w:pPr>
        <w:rPr>
          <w:rFonts w:ascii="Arial" w:hAnsi="Arial" w:cs="Arial"/>
          <w:sz w:val="24"/>
          <w:szCs w:val="24"/>
        </w:rPr>
      </w:pPr>
      <w:r w:rsidRPr="00AE5F62">
        <w:rPr>
          <w:rFonts w:ascii="Arial" w:hAnsi="Arial" w:cs="Arial"/>
          <w:sz w:val="24"/>
          <w:szCs w:val="24"/>
        </w:rPr>
        <w:t>7. Funding allocated for other initiatives shall be directed towards efforts identified by institutions of higher education in their</w:t>
      </w:r>
      <w:r w:rsidR="00D2050B" w:rsidRPr="00AE5F62">
        <w:rPr>
          <w:rFonts w:ascii="Arial" w:hAnsi="Arial" w:cs="Arial"/>
          <w:sz w:val="24"/>
          <w:szCs w:val="24"/>
        </w:rPr>
        <w:t xml:space="preserve"> </w:t>
      </w:r>
      <w:r w:rsidRPr="00AE5F62">
        <w:rPr>
          <w:rFonts w:ascii="Arial" w:hAnsi="Arial" w:cs="Arial"/>
          <w:sz w:val="24"/>
          <w:szCs w:val="24"/>
        </w:rPr>
        <w:t>six-year plans that best meet the goals and objectives of the "Top Jobs Act" legislation. These initiatives should be vetted</w:t>
      </w:r>
      <w:r w:rsidR="00D2050B" w:rsidRPr="00AE5F62">
        <w:rPr>
          <w:rFonts w:ascii="Arial" w:hAnsi="Arial" w:cs="Arial"/>
          <w:sz w:val="24"/>
          <w:szCs w:val="24"/>
        </w:rPr>
        <w:t xml:space="preserve"> </w:t>
      </w:r>
      <w:r w:rsidRPr="00AE5F62">
        <w:rPr>
          <w:rFonts w:ascii="Arial" w:hAnsi="Arial" w:cs="Arial"/>
          <w:sz w:val="24"/>
          <w:szCs w:val="24"/>
        </w:rPr>
        <w:t>through the six-year planning process as established under the "Top Jobs Act", and should be requested as discrete decision</w:t>
      </w:r>
      <w:r w:rsidR="00D2050B" w:rsidRPr="00AE5F62">
        <w:rPr>
          <w:rFonts w:ascii="Arial" w:hAnsi="Arial" w:cs="Arial"/>
          <w:sz w:val="24"/>
          <w:szCs w:val="24"/>
        </w:rPr>
        <w:t xml:space="preserve"> </w:t>
      </w:r>
      <w:r w:rsidRPr="00AE5F62">
        <w:rPr>
          <w:rFonts w:ascii="Arial" w:hAnsi="Arial" w:cs="Arial"/>
          <w:sz w:val="24"/>
          <w:szCs w:val="24"/>
        </w:rPr>
        <w:t>packages through the budget development process.</w:t>
      </w:r>
    </w:p>
    <w:p w:rsidR="00D2050B" w:rsidRPr="00AE5F62" w:rsidRDefault="00D2050B" w:rsidP="008B13F7">
      <w:pPr>
        <w:rPr>
          <w:rFonts w:ascii="Arial" w:hAnsi="Arial" w:cs="Arial"/>
          <w:sz w:val="24"/>
          <w:szCs w:val="24"/>
        </w:rPr>
      </w:pPr>
    </w:p>
    <w:p w:rsidR="008B13F7" w:rsidRPr="00AE5F62" w:rsidRDefault="008B13F7" w:rsidP="00D2050B">
      <w:pPr>
        <w:jc w:val="center"/>
        <w:rPr>
          <w:rFonts w:ascii="Arial" w:hAnsi="Arial" w:cs="Arial"/>
          <w:b/>
          <w:sz w:val="24"/>
          <w:szCs w:val="24"/>
        </w:rPr>
      </w:pPr>
      <w:r w:rsidRPr="00AE5F62">
        <w:rPr>
          <w:rFonts w:ascii="Arial" w:hAnsi="Arial" w:cs="Arial"/>
          <w:b/>
          <w:sz w:val="24"/>
          <w:szCs w:val="24"/>
        </w:rPr>
        <w:t>§ 4-11.00 STATEMENT OF FINANCIAL CONDITION</w:t>
      </w:r>
    </w:p>
    <w:p w:rsidR="008B13F7" w:rsidRPr="00AE5F62" w:rsidRDefault="008B13F7" w:rsidP="008B13F7">
      <w:pPr>
        <w:rPr>
          <w:rFonts w:ascii="Arial" w:hAnsi="Arial" w:cs="Arial"/>
          <w:sz w:val="24"/>
          <w:szCs w:val="24"/>
        </w:rPr>
      </w:pPr>
      <w:r w:rsidRPr="00AE5F62">
        <w:rPr>
          <w:rFonts w:ascii="Arial" w:hAnsi="Arial" w:cs="Arial"/>
          <w:sz w:val="24"/>
          <w:szCs w:val="24"/>
        </w:rPr>
        <w:t>Each agency head handling any state funds shall, at least once each year, upon request of the Auditor of Public Accounts,</w:t>
      </w:r>
      <w:r w:rsidR="00D2050B" w:rsidRPr="00AE5F62">
        <w:rPr>
          <w:rFonts w:ascii="Arial" w:hAnsi="Arial" w:cs="Arial"/>
          <w:sz w:val="24"/>
          <w:szCs w:val="24"/>
        </w:rPr>
        <w:t xml:space="preserve"> </w:t>
      </w:r>
      <w:r w:rsidRPr="00AE5F62">
        <w:rPr>
          <w:rFonts w:ascii="Arial" w:hAnsi="Arial" w:cs="Arial"/>
          <w:sz w:val="24"/>
          <w:szCs w:val="24"/>
        </w:rPr>
        <w:t>make a detailed statement, under oath, of the financial condition of his office as of the date of such call, to the Auditor of</w:t>
      </w:r>
      <w:r w:rsidR="00D2050B" w:rsidRPr="00AE5F62">
        <w:rPr>
          <w:rFonts w:ascii="Arial" w:hAnsi="Arial" w:cs="Arial"/>
          <w:sz w:val="24"/>
          <w:szCs w:val="24"/>
        </w:rPr>
        <w:t xml:space="preserve"> </w:t>
      </w:r>
      <w:r w:rsidRPr="00AE5F62">
        <w:rPr>
          <w:rFonts w:ascii="Arial" w:hAnsi="Arial" w:cs="Arial"/>
          <w:sz w:val="24"/>
          <w:szCs w:val="24"/>
        </w:rPr>
        <w:t>Public Accounts, and upon such forms as shall be prescribed by the Auditor of Public Accounts.</w:t>
      </w:r>
    </w:p>
    <w:p w:rsidR="00D2050B" w:rsidRPr="00AE5F62" w:rsidRDefault="00D2050B" w:rsidP="008B13F7">
      <w:pPr>
        <w:rPr>
          <w:rFonts w:ascii="Arial" w:hAnsi="Arial" w:cs="Arial"/>
          <w:sz w:val="24"/>
          <w:szCs w:val="24"/>
        </w:rPr>
      </w:pPr>
    </w:p>
    <w:p w:rsidR="008B13F7" w:rsidRPr="00AE5F62" w:rsidRDefault="008B13F7" w:rsidP="00D2050B">
      <w:pPr>
        <w:jc w:val="center"/>
        <w:rPr>
          <w:rFonts w:ascii="Arial" w:hAnsi="Arial" w:cs="Arial"/>
          <w:b/>
          <w:sz w:val="24"/>
          <w:szCs w:val="24"/>
        </w:rPr>
      </w:pPr>
      <w:r w:rsidRPr="00AE5F62">
        <w:rPr>
          <w:rFonts w:ascii="Arial" w:hAnsi="Arial" w:cs="Arial"/>
          <w:b/>
          <w:sz w:val="24"/>
          <w:szCs w:val="24"/>
        </w:rPr>
        <w:t>§ 4-12.00 SEVERABILITY</w:t>
      </w:r>
    </w:p>
    <w:p w:rsidR="008B13F7" w:rsidRPr="00AE5F62" w:rsidRDefault="008B13F7" w:rsidP="008B13F7">
      <w:pPr>
        <w:rPr>
          <w:rFonts w:ascii="Arial" w:hAnsi="Arial" w:cs="Arial"/>
          <w:sz w:val="24"/>
          <w:szCs w:val="24"/>
        </w:rPr>
      </w:pPr>
      <w:r w:rsidRPr="00AE5F62">
        <w:rPr>
          <w:rFonts w:ascii="Arial" w:hAnsi="Arial" w:cs="Arial"/>
          <w:sz w:val="24"/>
          <w:szCs w:val="24"/>
        </w:rPr>
        <w:t>If any part, section, subsection, paragraph, sentence, clause, phrase, or item of this act or the application thereof to any person</w:t>
      </w:r>
      <w:r w:rsidR="00D2050B" w:rsidRPr="00AE5F62">
        <w:rPr>
          <w:rFonts w:ascii="Arial" w:hAnsi="Arial" w:cs="Arial"/>
          <w:sz w:val="24"/>
          <w:szCs w:val="24"/>
        </w:rPr>
        <w:t xml:space="preserve"> </w:t>
      </w:r>
      <w:r w:rsidRPr="00AE5F62">
        <w:rPr>
          <w:rFonts w:ascii="Arial" w:hAnsi="Arial" w:cs="Arial"/>
          <w:sz w:val="24"/>
          <w:szCs w:val="24"/>
        </w:rPr>
        <w:t>or circumstance is for any reason declared unconstitutional, such decisions shall not affect the validity of the remaining</w:t>
      </w:r>
      <w:r w:rsidR="00D2050B" w:rsidRPr="00AE5F62">
        <w:rPr>
          <w:rFonts w:ascii="Arial" w:hAnsi="Arial" w:cs="Arial"/>
          <w:sz w:val="24"/>
          <w:szCs w:val="24"/>
        </w:rPr>
        <w:t xml:space="preserve"> </w:t>
      </w:r>
      <w:r w:rsidRPr="00AE5F62">
        <w:rPr>
          <w:rFonts w:ascii="Arial" w:hAnsi="Arial" w:cs="Arial"/>
          <w:sz w:val="24"/>
          <w:szCs w:val="24"/>
        </w:rPr>
        <w:t>portions of this act which shall remain in force as if such act had been passed with the unconstitutional part, section,</w:t>
      </w:r>
      <w:r w:rsidR="00D2050B" w:rsidRPr="00AE5F62">
        <w:rPr>
          <w:rFonts w:ascii="Arial" w:hAnsi="Arial" w:cs="Arial"/>
          <w:sz w:val="24"/>
          <w:szCs w:val="24"/>
        </w:rPr>
        <w:t xml:space="preserve"> </w:t>
      </w:r>
      <w:r w:rsidRPr="00AE5F62">
        <w:rPr>
          <w:rFonts w:ascii="Arial" w:hAnsi="Arial" w:cs="Arial"/>
          <w:sz w:val="24"/>
          <w:szCs w:val="24"/>
        </w:rPr>
        <w:t>subsection, paragraph, sentence, clause, phrase, item or such application thereof eliminated; and the General Assembly hereby</w:t>
      </w:r>
      <w:r w:rsidR="00D2050B" w:rsidRPr="00AE5F62">
        <w:rPr>
          <w:rFonts w:ascii="Arial" w:hAnsi="Arial" w:cs="Arial"/>
          <w:sz w:val="24"/>
          <w:szCs w:val="24"/>
        </w:rPr>
        <w:t xml:space="preserve"> </w:t>
      </w:r>
      <w:r w:rsidRPr="00AE5F62">
        <w:rPr>
          <w:rFonts w:ascii="Arial" w:hAnsi="Arial" w:cs="Arial"/>
          <w:sz w:val="24"/>
          <w:szCs w:val="24"/>
        </w:rPr>
        <w:t>declares that it would have passed this act if such unconstitutional part, section, subsection, paragraph, sentence, clause, phrase,</w:t>
      </w:r>
      <w:r w:rsidR="00D2050B" w:rsidRPr="00AE5F62">
        <w:rPr>
          <w:rFonts w:ascii="Arial" w:hAnsi="Arial" w:cs="Arial"/>
          <w:sz w:val="24"/>
          <w:szCs w:val="24"/>
        </w:rPr>
        <w:t xml:space="preserve"> </w:t>
      </w:r>
      <w:r w:rsidRPr="00AE5F62">
        <w:rPr>
          <w:rFonts w:ascii="Arial" w:hAnsi="Arial" w:cs="Arial"/>
          <w:sz w:val="24"/>
          <w:szCs w:val="24"/>
        </w:rPr>
        <w:t>or item had not been included herein, or if such application had not been made.</w:t>
      </w:r>
    </w:p>
    <w:p w:rsidR="00D2050B" w:rsidRPr="00AE5F62" w:rsidRDefault="00D2050B" w:rsidP="008B13F7">
      <w:pPr>
        <w:rPr>
          <w:rFonts w:ascii="Arial" w:hAnsi="Arial" w:cs="Arial"/>
          <w:sz w:val="24"/>
          <w:szCs w:val="24"/>
        </w:rPr>
      </w:pPr>
    </w:p>
    <w:p w:rsidR="008B13F7" w:rsidRPr="00AE5F62" w:rsidRDefault="008B13F7" w:rsidP="00D2050B">
      <w:pPr>
        <w:jc w:val="center"/>
        <w:rPr>
          <w:rFonts w:ascii="Arial" w:hAnsi="Arial" w:cs="Arial"/>
          <w:b/>
          <w:sz w:val="24"/>
          <w:szCs w:val="24"/>
        </w:rPr>
      </w:pPr>
      <w:r w:rsidRPr="00AE5F62">
        <w:rPr>
          <w:rFonts w:ascii="Arial" w:hAnsi="Arial" w:cs="Arial"/>
          <w:b/>
          <w:sz w:val="24"/>
          <w:szCs w:val="24"/>
        </w:rPr>
        <w:t>§ 4-13.00 CONFLICT WITH OTHER LAWS</w:t>
      </w:r>
    </w:p>
    <w:p w:rsidR="008B13F7" w:rsidRPr="00AE5F62" w:rsidRDefault="008B13F7" w:rsidP="008B13F7">
      <w:pPr>
        <w:rPr>
          <w:rFonts w:ascii="Arial" w:hAnsi="Arial" w:cs="Arial"/>
          <w:sz w:val="24"/>
          <w:szCs w:val="24"/>
        </w:rPr>
      </w:pPr>
      <w:r w:rsidRPr="00AE5F62">
        <w:rPr>
          <w:rFonts w:ascii="Arial" w:hAnsi="Arial" w:cs="Arial"/>
          <w:sz w:val="24"/>
          <w:szCs w:val="24"/>
        </w:rPr>
        <w:t>Notwithstanding any other provision of law, and until June 30, 2014, the provisions of this act shall prevail over any</w:t>
      </w:r>
      <w:r w:rsidR="00693078">
        <w:rPr>
          <w:rFonts w:ascii="Arial" w:hAnsi="Arial" w:cs="Arial"/>
          <w:sz w:val="24"/>
          <w:szCs w:val="24"/>
        </w:rPr>
        <w:t xml:space="preserve"> </w:t>
      </w:r>
      <w:r w:rsidRPr="00AE5F62">
        <w:rPr>
          <w:rFonts w:ascii="Arial" w:hAnsi="Arial" w:cs="Arial"/>
          <w:sz w:val="24"/>
          <w:szCs w:val="24"/>
        </w:rPr>
        <w:t>conflicting provision of any other law, without regard to whether such other law is enacted before or after this act; however, a</w:t>
      </w:r>
      <w:r w:rsidR="00D2050B" w:rsidRPr="00AE5F62">
        <w:rPr>
          <w:rFonts w:ascii="Arial" w:hAnsi="Arial" w:cs="Arial"/>
          <w:sz w:val="24"/>
          <w:szCs w:val="24"/>
        </w:rPr>
        <w:t xml:space="preserve"> </w:t>
      </w:r>
      <w:r w:rsidRPr="00AE5F62">
        <w:rPr>
          <w:rFonts w:ascii="Arial" w:hAnsi="Arial" w:cs="Arial"/>
          <w:sz w:val="24"/>
          <w:szCs w:val="24"/>
        </w:rPr>
        <w:t>conflicting provision of another law enacted after this act shall prevail over a conflicting provision of this act if the General</w:t>
      </w:r>
      <w:r w:rsidR="00D2050B" w:rsidRPr="00AE5F62">
        <w:rPr>
          <w:rFonts w:ascii="Arial" w:hAnsi="Arial" w:cs="Arial"/>
          <w:sz w:val="24"/>
          <w:szCs w:val="24"/>
        </w:rPr>
        <w:t xml:space="preserve"> </w:t>
      </w:r>
      <w:r w:rsidRPr="00AE5F62">
        <w:rPr>
          <w:rFonts w:ascii="Arial" w:hAnsi="Arial" w:cs="Arial"/>
          <w:sz w:val="24"/>
          <w:szCs w:val="24"/>
        </w:rPr>
        <w:t>Assembly has clearly evidenced its intent that the conflicting provision of such other law shall prevail, which intent shall be</w:t>
      </w:r>
      <w:r w:rsidR="00D2050B" w:rsidRPr="00AE5F62">
        <w:rPr>
          <w:rFonts w:ascii="Arial" w:hAnsi="Arial" w:cs="Arial"/>
          <w:sz w:val="24"/>
          <w:szCs w:val="24"/>
        </w:rPr>
        <w:t xml:space="preserve"> </w:t>
      </w:r>
      <w:r w:rsidRPr="00AE5F62">
        <w:rPr>
          <w:rFonts w:ascii="Arial" w:hAnsi="Arial" w:cs="Arial"/>
          <w:sz w:val="24"/>
          <w:szCs w:val="24"/>
        </w:rPr>
        <w:t>evident only if such other law (</w:t>
      </w:r>
      <w:proofErr w:type="spellStart"/>
      <w:r w:rsidRPr="00AE5F62">
        <w:rPr>
          <w:rFonts w:ascii="Arial" w:hAnsi="Arial" w:cs="Arial"/>
          <w:sz w:val="24"/>
          <w:szCs w:val="24"/>
        </w:rPr>
        <w:t>i</w:t>
      </w:r>
      <w:proofErr w:type="spellEnd"/>
      <w:r w:rsidRPr="00AE5F62">
        <w:rPr>
          <w:rFonts w:ascii="Arial" w:hAnsi="Arial" w:cs="Arial"/>
          <w:sz w:val="24"/>
          <w:szCs w:val="24"/>
        </w:rPr>
        <w:t>) identifies the specific provision(s) of this act over which the conflicting provision of such</w:t>
      </w:r>
      <w:r w:rsidR="00D2050B" w:rsidRPr="00AE5F62">
        <w:rPr>
          <w:rFonts w:ascii="Arial" w:hAnsi="Arial" w:cs="Arial"/>
          <w:sz w:val="24"/>
          <w:szCs w:val="24"/>
        </w:rPr>
        <w:t xml:space="preserve"> </w:t>
      </w:r>
      <w:r w:rsidRPr="00AE5F62">
        <w:rPr>
          <w:rFonts w:ascii="Arial" w:hAnsi="Arial" w:cs="Arial"/>
          <w:sz w:val="24"/>
          <w:szCs w:val="24"/>
        </w:rPr>
        <w:t>other law is intended to prevail and (ii) specifically states that the terms of this section are not applicable with respect to the</w:t>
      </w:r>
      <w:r w:rsidR="00D2050B" w:rsidRPr="00AE5F62">
        <w:rPr>
          <w:rFonts w:ascii="Arial" w:hAnsi="Arial" w:cs="Arial"/>
          <w:sz w:val="24"/>
          <w:szCs w:val="24"/>
        </w:rPr>
        <w:t xml:space="preserve"> </w:t>
      </w:r>
      <w:r w:rsidRPr="00AE5F62">
        <w:rPr>
          <w:rFonts w:ascii="Arial" w:hAnsi="Arial" w:cs="Arial"/>
          <w:sz w:val="24"/>
          <w:szCs w:val="24"/>
        </w:rPr>
        <w:t>conflict between the provision(s) of this act and the provision of such other law.</w:t>
      </w:r>
    </w:p>
    <w:p w:rsidR="00D2050B" w:rsidRPr="00AE5F62" w:rsidRDefault="00D2050B" w:rsidP="008B13F7">
      <w:pPr>
        <w:rPr>
          <w:rFonts w:ascii="Arial" w:hAnsi="Arial" w:cs="Arial"/>
          <w:sz w:val="24"/>
          <w:szCs w:val="24"/>
        </w:rPr>
      </w:pPr>
    </w:p>
    <w:p w:rsidR="00D2050B" w:rsidRPr="00AE5F62" w:rsidRDefault="00D2050B" w:rsidP="008B13F7">
      <w:pPr>
        <w:rPr>
          <w:rFonts w:ascii="Arial" w:hAnsi="Arial" w:cs="Arial"/>
          <w:sz w:val="24"/>
          <w:szCs w:val="24"/>
        </w:rPr>
      </w:pPr>
    </w:p>
    <w:p w:rsidR="008B13F7" w:rsidRPr="00AE5F62" w:rsidRDefault="008B13F7" w:rsidP="00D2050B">
      <w:pPr>
        <w:jc w:val="center"/>
        <w:rPr>
          <w:rFonts w:ascii="Arial" w:hAnsi="Arial" w:cs="Arial"/>
          <w:b/>
          <w:sz w:val="24"/>
          <w:szCs w:val="24"/>
        </w:rPr>
      </w:pPr>
      <w:r w:rsidRPr="00AE5F62">
        <w:rPr>
          <w:rFonts w:ascii="Arial" w:hAnsi="Arial" w:cs="Arial"/>
          <w:b/>
          <w:sz w:val="24"/>
          <w:szCs w:val="24"/>
        </w:rPr>
        <w:lastRenderedPageBreak/>
        <w:t>§ 4-14.00 EFFECTIVE DATE</w:t>
      </w:r>
    </w:p>
    <w:p w:rsidR="008B13F7" w:rsidRPr="00AE5F62" w:rsidRDefault="008B13F7" w:rsidP="008B13F7">
      <w:pPr>
        <w:rPr>
          <w:rFonts w:ascii="Arial" w:hAnsi="Arial" w:cs="Arial"/>
          <w:sz w:val="24"/>
          <w:szCs w:val="24"/>
        </w:rPr>
      </w:pPr>
      <w:r w:rsidRPr="00AE5F62">
        <w:rPr>
          <w:rFonts w:ascii="Arial" w:hAnsi="Arial" w:cs="Arial"/>
          <w:sz w:val="24"/>
          <w:szCs w:val="24"/>
        </w:rPr>
        <w:t>This act is effective July 1, 2014.</w:t>
      </w:r>
    </w:p>
    <w:p w:rsidR="00D2050B" w:rsidRPr="00AE5F62" w:rsidRDefault="00D2050B" w:rsidP="008B13F7">
      <w:pPr>
        <w:rPr>
          <w:rFonts w:ascii="Arial" w:hAnsi="Arial" w:cs="Arial"/>
          <w:sz w:val="24"/>
          <w:szCs w:val="24"/>
        </w:rPr>
      </w:pPr>
    </w:p>
    <w:p w:rsidR="008B13F7" w:rsidRPr="00AE5F62" w:rsidRDefault="008B13F7" w:rsidP="00D2050B">
      <w:pPr>
        <w:jc w:val="center"/>
        <w:rPr>
          <w:rFonts w:ascii="Arial" w:hAnsi="Arial" w:cs="Arial"/>
          <w:b/>
          <w:sz w:val="24"/>
          <w:szCs w:val="24"/>
        </w:rPr>
      </w:pPr>
      <w:r w:rsidRPr="00AE5F62">
        <w:rPr>
          <w:rFonts w:ascii="Arial" w:hAnsi="Arial" w:cs="Arial"/>
          <w:b/>
          <w:sz w:val="24"/>
          <w:szCs w:val="24"/>
        </w:rPr>
        <w:t>ADDITIONAL ENACTMENTS</w:t>
      </w:r>
    </w:p>
    <w:p w:rsidR="008B13F7" w:rsidRPr="00AE5F62" w:rsidRDefault="008B13F7" w:rsidP="008B13F7">
      <w:pPr>
        <w:rPr>
          <w:rFonts w:ascii="Arial" w:hAnsi="Arial" w:cs="Arial"/>
          <w:sz w:val="24"/>
          <w:szCs w:val="24"/>
        </w:rPr>
      </w:pPr>
      <w:r w:rsidRPr="00AE5F62">
        <w:rPr>
          <w:rFonts w:ascii="Arial" w:hAnsi="Arial" w:cs="Arial"/>
          <w:sz w:val="24"/>
          <w:szCs w:val="24"/>
        </w:rPr>
        <w:t>2. That no provision of this act shall be construed or interpreted to cause the expiration of any provision of Chapter</w:t>
      </w:r>
      <w:r w:rsidR="00FD3621">
        <w:rPr>
          <w:rFonts w:ascii="Arial" w:hAnsi="Arial" w:cs="Arial"/>
          <w:sz w:val="24"/>
          <w:szCs w:val="24"/>
        </w:rPr>
        <w:t xml:space="preserve"> </w:t>
      </w:r>
      <w:r w:rsidRPr="00AE5F62">
        <w:rPr>
          <w:rFonts w:ascii="Arial" w:hAnsi="Arial" w:cs="Arial"/>
          <w:sz w:val="24"/>
          <w:szCs w:val="24"/>
        </w:rPr>
        <w:t>896 of the Acts of Assembly of 2007 pursuant to the 22nd enactment of such Chapter.</w:t>
      </w:r>
    </w:p>
    <w:p w:rsidR="00D2050B" w:rsidRPr="00AE5F62" w:rsidRDefault="00D2050B" w:rsidP="008B13F7">
      <w:pPr>
        <w:rPr>
          <w:rFonts w:ascii="Arial" w:hAnsi="Arial" w:cs="Arial"/>
          <w:sz w:val="24"/>
          <w:szCs w:val="24"/>
        </w:rPr>
      </w:pPr>
    </w:p>
    <w:p w:rsidR="004324D5" w:rsidRPr="00AE5F62" w:rsidRDefault="008B13F7" w:rsidP="008B13F7">
      <w:pPr>
        <w:rPr>
          <w:rFonts w:ascii="Arial" w:hAnsi="Arial" w:cs="Arial"/>
          <w:sz w:val="24"/>
          <w:szCs w:val="24"/>
        </w:rPr>
      </w:pPr>
      <w:r w:rsidRPr="00AE5F62">
        <w:rPr>
          <w:rFonts w:ascii="Arial" w:hAnsi="Arial" w:cs="Arial"/>
          <w:sz w:val="24"/>
          <w:szCs w:val="24"/>
        </w:rPr>
        <w:t>3. That the provisions of the first enactment of this act shall expire at midnight on June 30, 2016. The provisions of the</w:t>
      </w:r>
      <w:r w:rsidR="00D2050B" w:rsidRPr="00AE5F62">
        <w:rPr>
          <w:rFonts w:ascii="Arial" w:hAnsi="Arial" w:cs="Arial"/>
          <w:sz w:val="24"/>
          <w:szCs w:val="24"/>
        </w:rPr>
        <w:t xml:space="preserve"> </w:t>
      </w:r>
      <w:r w:rsidRPr="00AE5F62">
        <w:rPr>
          <w:rFonts w:ascii="Arial" w:hAnsi="Arial" w:cs="Arial"/>
          <w:sz w:val="24"/>
          <w:szCs w:val="24"/>
        </w:rPr>
        <w:t>second enactment of this act shall have no expiration date.</w:t>
      </w:r>
    </w:p>
    <w:p w:rsidR="003B34DC" w:rsidRPr="00AE5F62" w:rsidRDefault="003B34DC" w:rsidP="008B13F7">
      <w:pPr>
        <w:rPr>
          <w:rFonts w:ascii="Arial" w:hAnsi="Arial" w:cs="Arial"/>
          <w:sz w:val="24"/>
          <w:szCs w:val="24"/>
        </w:rPr>
      </w:pPr>
    </w:p>
    <w:p w:rsidR="003B34DC" w:rsidRDefault="003B34DC" w:rsidP="008B13F7">
      <w:pPr>
        <w:rPr>
          <w:rFonts w:hint="eastAsia"/>
        </w:rPr>
      </w:pPr>
    </w:p>
    <w:p w:rsidR="003B34DC" w:rsidRDefault="003B34DC" w:rsidP="008B13F7">
      <w:pPr>
        <w:rPr>
          <w:rFonts w:hint="eastAsia"/>
        </w:rPr>
      </w:pPr>
    </w:p>
    <w:p w:rsidR="000F7EB8" w:rsidRDefault="000F7EB8" w:rsidP="000F7EB8">
      <w:pPr>
        <w:jc w:val="center"/>
        <w:rPr>
          <w:rFonts w:ascii="Arial" w:hAnsi="Arial" w:cs="Arial"/>
        </w:rPr>
      </w:pPr>
    </w:p>
    <w:p w:rsidR="000F7EB8" w:rsidRDefault="000F7EB8" w:rsidP="000F7EB8">
      <w:pPr>
        <w:jc w:val="center"/>
        <w:rPr>
          <w:rFonts w:ascii="Arial" w:hAnsi="Arial" w:cs="Arial"/>
        </w:rPr>
      </w:pPr>
    </w:p>
    <w:p w:rsidR="004324D5" w:rsidRDefault="000F7EB8" w:rsidP="000F7EB8">
      <w:pPr>
        <w:jc w:val="center"/>
        <w:rPr>
          <w:rFonts w:ascii="Arial" w:hAnsi="Arial" w:cs="Arial"/>
        </w:rPr>
      </w:pPr>
      <w:r>
        <w:rPr>
          <w:rFonts w:ascii="Arial" w:hAnsi="Arial" w:cs="Arial"/>
        </w:rPr>
        <w:t xml:space="preserve"> </w:t>
      </w:r>
    </w:p>
    <w:p w:rsidR="002D2952" w:rsidRDefault="002D2952" w:rsidP="00803E17">
      <w:pPr>
        <w:jc w:val="center"/>
        <w:rPr>
          <w:rFonts w:ascii="Arial" w:hAnsi="Arial" w:cs="Arial"/>
        </w:rPr>
      </w:pPr>
    </w:p>
    <w:p w:rsidR="002D2952" w:rsidRDefault="002D2952" w:rsidP="002D2952">
      <w:pPr>
        <w:rPr>
          <w:rFonts w:ascii="Arial" w:hAnsi="Arial" w:cs="Arial"/>
        </w:rPr>
      </w:pPr>
      <w:r>
        <w:rPr>
          <w:rFonts w:ascii="Arial" w:hAnsi="Arial" w:cs="Arial"/>
        </w:rPr>
        <w:t xml:space="preserve">                                        </w:t>
      </w:r>
    </w:p>
    <w:p w:rsidR="00756F39" w:rsidRDefault="002D2952" w:rsidP="002D2952">
      <w:pPr>
        <w:rPr>
          <w:rFonts w:ascii="Arial" w:hAnsi="Arial" w:cs="Arial"/>
        </w:rPr>
      </w:pPr>
      <w:r>
        <w:rPr>
          <w:rFonts w:ascii="Arial" w:hAnsi="Arial" w:cs="Arial"/>
        </w:rPr>
        <w:t xml:space="preserve">                                    </w:t>
      </w:r>
    </w:p>
    <w:p w:rsidR="00756F39" w:rsidRDefault="00756F39" w:rsidP="00803E17">
      <w:pPr>
        <w:jc w:val="center"/>
        <w:rPr>
          <w:rFonts w:ascii="Arial" w:hAnsi="Arial" w:cs="Arial"/>
        </w:rPr>
      </w:pPr>
    </w:p>
    <w:p w:rsidR="00756F39" w:rsidRDefault="00756F39" w:rsidP="00803E17">
      <w:pPr>
        <w:jc w:val="center"/>
        <w:rPr>
          <w:rFonts w:ascii="Arial" w:hAnsi="Arial" w:cs="Arial"/>
        </w:rPr>
      </w:pPr>
    </w:p>
    <w:p w:rsidR="00756F39" w:rsidRDefault="00756F39" w:rsidP="00803E17">
      <w:pPr>
        <w:jc w:val="center"/>
        <w:rPr>
          <w:rFonts w:ascii="Arial" w:hAnsi="Arial" w:cs="Arial"/>
        </w:rPr>
      </w:pPr>
    </w:p>
    <w:p w:rsidR="00756F39" w:rsidRDefault="00756F39" w:rsidP="00803E17">
      <w:pPr>
        <w:jc w:val="center"/>
        <w:rPr>
          <w:rFonts w:ascii="Arial" w:hAnsi="Arial" w:cs="Arial"/>
        </w:rPr>
      </w:pPr>
    </w:p>
    <w:p w:rsidR="00756F39" w:rsidRDefault="00756F39" w:rsidP="00803E17">
      <w:pPr>
        <w:jc w:val="center"/>
        <w:rPr>
          <w:rFonts w:ascii="Arial" w:hAnsi="Arial" w:cs="Arial"/>
        </w:rPr>
      </w:pPr>
    </w:p>
    <w:p w:rsidR="004324D5" w:rsidRDefault="004324D5" w:rsidP="00756F39">
      <w:pPr>
        <w:ind w:left="1440" w:firstLine="360"/>
        <w:rPr>
          <w:rFonts w:ascii="Arial" w:hAnsi="Arial" w:cs="Arial"/>
        </w:rPr>
      </w:pPr>
    </w:p>
    <w:p w:rsidR="00652C0B" w:rsidRDefault="00652C0B" w:rsidP="00803E17">
      <w:pPr>
        <w:jc w:val="center"/>
        <w:rPr>
          <w:rFonts w:ascii="Arial" w:hAnsi="Arial" w:cs="Arial"/>
        </w:rPr>
      </w:pPr>
    </w:p>
    <w:p w:rsidR="002D2952" w:rsidRDefault="002D2952" w:rsidP="00803E17">
      <w:pPr>
        <w:jc w:val="center"/>
        <w:rPr>
          <w:rFonts w:ascii="Arial" w:hAnsi="Arial" w:cs="Arial"/>
        </w:rPr>
      </w:pPr>
    </w:p>
    <w:p w:rsidR="007300A4" w:rsidRDefault="00777B64" w:rsidP="00647AC4">
      <w:pPr>
        <w:rPr>
          <w:rFonts w:ascii="Arial" w:hAnsi="Arial" w:cs="Arial"/>
          <w:color w:val="000000"/>
          <w:sz w:val="18"/>
          <w:szCs w:val="18"/>
        </w:rPr>
      </w:pPr>
      <w:r>
        <w:rPr>
          <w:rFonts w:ascii="Arial" w:hAnsi="Arial" w:cs="Arial"/>
          <w:color w:val="000000"/>
          <w:sz w:val="18"/>
          <w:szCs w:val="18"/>
        </w:rPr>
        <w:t xml:space="preserve">            </w:t>
      </w:r>
    </w:p>
    <w:p w:rsidR="007300A4" w:rsidRDefault="007300A4">
      <w:pPr>
        <w:rPr>
          <w:rFonts w:ascii="Arial" w:hAnsi="Arial" w:cs="Arial"/>
          <w:color w:val="000000"/>
          <w:sz w:val="18"/>
          <w:szCs w:val="18"/>
        </w:rPr>
      </w:pPr>
      <w:r>
        <w:rPr>
          <w:rFonts w:ascii="Arial" w:hAnsi="Arial" w:cs="Arial"/>
          <w:color w:val="000000"/>
          <w:sz w:val="18"/>
          <w:szCs w:val="18"/>
        </w:rPr>
        <w:br w:type="page"/>
      </w:r>
    </w:p>
    <w:p w:rsidR="004324D5" w:rsidRDefault="004324D5" w:rsidP="00647AC4">
      <w:pPr>
        <w:rPr>
          <w:rFonts w:ascii="Arial" w:hAnsi="Arial" w:cs="Arial"/>
        </w:rPr>
      </w:pPr>
    </w:p>
    <w:p w:rsidR="007300A4" w:rsidRDefault="007300A4" w:rsidP="00647AC4">
      <w:pPr>
        <w:rPr>
          <w:rFonts w:ascii="Arial" w:hAnsi="Arial" w:cs="Arial"/>
        </w:rPr>
      </w:pPr>
    </w:p>
    <w:p w:rsidR="007300A4" w:rsidRDefault="007300A4" w:rsidP="00647AC4">
      <w:pPr>
        <w:rPr>
          <w:rFonts w:ascii="Arial" w:hAnsi="Arial" w:cs="Arial"/>
        </w:rPr>
      </w:pPr>
      <w:r w:rsidRPr="007300A4">
        <w:rPr>
          <w:rFonts w:ascii="Arial" w:hAnsi="Arial" w:cs="Arial"/>
          <w:noProof/>
        </w:rPr>
        <w:drawing>
          <wp:inline distT="0" distB="0" distL="0" distR="0">
            <wp:extent cx="5943600" cy="5188527"/>
            <wp:effectExtent l="1905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5943600" cy="5188527"/>
                    </a:xfrm>
                    <a:prstGeom prst="rect">
                      <a:avLst/>
                    </a:prstGeom>
                    <a:noFill/>
                    <a:ln w="9525">
                      <a:noFill/>
                      <a:miter lim="800000"/>
                      <a:headEnd/>
                      <a:tailEnd/>
                    </a:ln>
                  </pic:spPr>
                </pic:pic>
              </a:graphicData>
            </a:graphic>
          </wp:inline>
        </w:drawing>
      </w:r>
    </w:p>
    <w:p w:rsidR="007300A4" w:rsidRDefault="007300A4" w:rsidP="00647AC4">
      <w:pPr>
        <w:rPr>
          <w:rFonts w:ascii="Arial" w:hAnsi="Arial" w:cs="Arial"/>
        </w:rPr>
        <w:sectPr w:rsidR="007300A4" w:rsidSect="00DE3388">
          <w:footerReference w:type="default" r:id="rId9"/>
          <w:pgSz w:w="12240" w:h="15840" w:code="1"/>
          <w:pgMar w:top="1440" w:right="1152" w:bottom="1440" w:left="1728" w:header="720" w:footer="720" w:gutter="0"/>
          <w:cols w:space="720"/>
        </w:sectPr>
      </w:pPr>
    </w:p>
    <w:p w:rsidR="007300A4" w:rsidRDefault="007300A4" w:rsidP="00647AC4">
      <w:pPr>
        <w:rPr>
          <w:rFonts w:ascii="Arial" w:hAnsi="Arial" w:cs="Arial"/>
        </w:rPr>
      </w:pPr>
    </w:p>
    <w:p w:rsidR="007300A4" w:rsidRDefault="007300A4" w:rsidP="00647AC4">
      <w:pPr>
        <w:rPr>
          <w:rFonts w:ascii="Arial" w:hAnsi="Arial" w:cs="Arial"/>
        </w:rPr>
      </w:pPr>
    </w:p>
    <w:p w:rsidR="007300A4" w:rsidRDefault="007300A4" w:rsidP="00647AC4">
      <w:pPr>
        <w:rPr>
          <w:rFonts w:ascii="Arial" w:hAnsi="Arial" w:cs="Arial"/>
        </w:rPr>
      </w:pPr>
      <w:r w:rsidRPr="007300A4">
        <w:rPr>
          <w:rFonts w:ascii="Arial" w:hAnsi="Arial" w:cs="Arial"/>
          <w:noProof/>
        </w:rPr>
        <w:drawing>
          <wp:inline distT="0" distB="0" distL="0" distR="0">
            <wp:extent cx="8229600" cy="4834813"/>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229600" cy="4834813"/>
                    </a:xfrm>
                    <a:prstGeom prst="rect">
                      <a:avLst/>
                    </a:prstGeom>
                    <a:noFill/>
                    <a:ln w="9525">
                      <a:noFill/>
                      <a:miter lim="800000"/>
                      <a:headEnd/>
                      <a:tailEnd/>
                    </a:ln>
                  </pic:spPr>
                </pic:pic>
              </a:graphicData>
            </a:graphic>
          </wp:inline>
        </w:drawing>
      </w:r>
    </w:p>
    <w:p w:rsidR="007300A4" w:rsidRDefault="007300A4">
      <w:pPr>
        <w:rPr>
          <w:rFonts w:ascii="Arial" w:hAnsi="Arial" w:cs="Arial"/>
        </w:rPr>
      </w:pPr>
      <w:r>
        <w:rPr>
          <w:rFonts w:ascii="Arial" w:hAnsi="Arial" w:cs="Arial"/>
        </w:rPr>
        <w:br w:type="page"/>
      </w:r>
    </w:p>
    <w:p w:rsidR="007300A4" w:rsidRDefault="007300A4" w:rsidP="00647AC4">
      <w:pPr>
        <w:rPr>
          <w:rFonts w:ascii="Arial" w:hAnsi="Arial" w:cs="Arial"/>
        </w:rPr>
      </w:pPr>
    </w:p>
    <w:p w:rsidR="007300A4" w:rsidRDefault="007300A4" w:rsidP="00647AC4">
      <w:pPr>
        <w:rPr>
          <w:rFonts w:ascii="Arial" w:hAnsi="Arial" w:cs="Arial"/>
        </w:rPr>
      </w:pPr>
    </w:p>
    <w:p w:rsidR="007300A4" w:rsidRDefault="007300A4" w:rsidP="00647AC4">
      <w:pPr>
        <w:rPr>
          <w:rFonts w:ascii="Arial" w:hAnsi="Arial" w:cs="Arial"/>
        </w:rPr>
      </w:pPr>
      <w:r w:rsidRPr="007300A4">
        <w:rPr>
          <w:rFonts w:ascii="Arial" w:hAnsi="Arial" w:cs="Arial"/>
          <w:noProof/>
        </w:rPr>
        <w:drawing>
          <wp:inline distT="0" distB="0" distL="0" distR="0">
            <wp:extent cx="8229600" cy="4834813"/>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8229600" cy="4834813"/>
                    </a:xfrm>
                    <a:prstGeom prst="rect">
                      <a:avLst/>
                    </a:prstGeom>
                    <a:noFill/>
                    <a:ln w="9525">
                      <a:noFill/>
                      <a:miter lim="800000"/>
                      <a:headEnd/>
                      <a:tailEnd/>
                    </a:ln>
                  </pic:spPr>
                </pic:pic>
              </a:graphicData>
            </a:graphic>
          </wp:inline>
        </w:drawing>
      </w:r>
    </w:p>
    <w:p w:rsidR="007300A4" w:rsidRDefault="007300A4">
      <w:pPr>
        <w:rPr>
          <w:rFonts w:ascii="Arial" w:hAnsi="Arial" w:cs="Arial"/>
        </w:rPr>
      </w:pPr>
      <w:r>
        <w:rPr>
          <w:rFonts w:ascii="Arial" w:hAnsi="Arial" w:cs="Arial"/>
        </w:rPr>
        <w:br w:type="page"/>
      </w:r>
    </w:p>
    <w:p w:rsidR="007300A4" w:rsidRDefault="007300A4" w:rsidP="00647AC4">
      <w:pPr>
        <w:rPr>
          <w:rFonts w:ascii="Arial" w:hAnsi="Arial" w:cs="Arial"/>
        </w:rPr>
      </w:pPr>
    </w:p>
    <w:p w:rsidR="007300A4" w:rsidRDefault="007300A4" w:rsidP="00647AC4">
      <w:pPr>
        <w:rPr>
          <w:rFonts w:ascii="Arial" w:hAnsi="Arial" w:cs="Arial"/>
        </w:rPr>
      </w:pPr>
    </w:p>
    <w:p w:rsidR="007300A4" w:rsidRDefault="007300A4" w:rsidP="007300A4">
      <w:pPr>
        <w:jc w:val="center"/>
        <w:rPr>
          <w:rFonts w:ascii="Arial" w:hAnsi="Arial" w:cs="Arial"/>
        </w:rPr>
      </w:pPr>
      <w:r w:rsidRPr="007300A4">
        <w:rPr>
          <w:rFonts w:ascii="Arial" w:hAnsi="Arial" w:cs="Arial"/>
          <w:noProof/>
        </w:rPr>
        <w:drawing>
          <wp:inline distT="0" distB="0" distL="0" distR="0">
            <wp:extent cx="6286500" cy="37814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6286500" cy="3781425"/>
                    </a:xfrm>
                    <a:prstGeom prst="rect">
                      <a:avLst/>
                    </a:prstGeom>
                    <a:noFill/>
                    <a:ln w="9525">
                      <a:noFill/>
                      <a:miter lim="800000"/>
                      <a:headEnd/>
                      <a:tailEnd/>
                    </a:ln>
                  </pic:spPr>
                </pic:pic>
              </a:graphicData>
            </a:graphic>
          </wp:inline>
        </w:drawing>
      </w:r>
    </w:p>
    <w:p w:rsidR="007300A4" w:rsidRDefault="007300A4" w:rsidP="007300A4">
      <w:pPr>
        <w:tabs>
          <w:tab w:val="left" w:pos="1530"/>
        </w:tabs>
        <w:rPr>
          <w:rFonts w:ascii="Arial" w:hAnsi="Arial" w:cs="Arial"/>
        </w:rPr>
      </w:pPr>
      <w:r>
        <w:rPr>
          <w:rFonts w:ascii="Arial" w:hAnsi="Arial" w:cs="Arial"/>
        </w:rPr>
        <w:tab/>
      </w:r>
      <w:r w:rsidRPr="004324D5">
        <w:rPr>
          <w:rFonts w:ascii="Arial" w:hAnsi="Arial" w:cs="Arial"/>
          <w:color w:val="000000"/>
          <w:sz w:val="18"/>
          <w:szCs w:val="18"/>
        </w:rPr>
        <w:t>Source: DPB</w:t>
      </w:r>
      <w:r>
        <w:rPr>
          <w:rFonts w:ascii="Arial" w:hAnsi="Arial" w:cs="Arial"/>
          <w:color w:val="000000"/>
          <w:sz w:val="18"/>
          <w:szCs w:val="18"/>
        </w:rPr>
        <w:t xml:space="preserve"> CSSBO Presentation (12-16-2013)</w:t>
      </w:r>
    </w:p>
    <w:sectPr w:rsidR="007300A4" w:rsidSect="007300A4">
      <w:footerReference w:type="default" r:id="rId13"/>
      <w:pgSz w:w="15840" w:h="12240" w:orient="landscape"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428" w:rsidRDefault="008D2428">
      <w:pPr>
        <w:rPr>
          <w:rFonts w:hint="eastAsia"/>
        </w:rPr>
      </w:pPr>
      <w:r>
        <w:separator/>
      </w:r>
    </w:p>
  </w:endnote>
  <w:endnote w:type="continuationSeparator" w:id="0">
    <w:p w:rsidR="008D2428" w:rsidRDefault="008D2428">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Footlight MT">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428" w:rsidRPr="008D4E7A" w:rsidRDefault="008D2428" w:rsidP="00221BA8">
    <w:pPr>
      <w:pStyle w:val="Footer"/>
      <w:tabs>
        <w:tab w:val="clear" w:pos="4320"/>
        <w:tab w:val="clear" w:pos="8640"/>
        <w:tab w:val="left" w:pos="-1620"/>
        <w:tab w:val="left" w:pos="-360"/>
        <w:tab w:val="center" w:pos="4860"/>
        <w:tab w:val="right" w:pos="9000"/>
        <w:tab w:val="right" w:pos="13140"/>
        <w:tab w:val="right" w:pos="13860"/>
      </w:tabs>
      <w:ind w:right="-36"/>
      <w:rPr>
        <w:rFonts w:ascii="Arial" w:hAnsi="Arial" w:cs="Arial"/>
        <w:sz w:val="18"/>
        <w:szCs w:val="18"/>
      </w:rPr>
    </w:pPr>
    <w:r>
      <w:rPr>
        <w:rFonts w:ascii="Arial" w:hAnsi="Arial" w:cs="Arial"/>
        <w:sz w:val="18"/>
        <w:szCs w:val="18"/>
      </w:rPr>
      <w:t>The Governor’s Introduced Budget</w:t>
    </w:r>
    <w:r w:rsidR="00DA57C9">
      <w:rPr>
        <w:rFonts w:ascii="Arial" w:hAnsi="Arial" w:cs="Arial"/>
        <w:sz w:val="18"/>
        <w:szCs w:val="18"/>
      </w:rPr>
      <w:t xml:space="preserve"> for 2014-16 Biennium</w:t>
    </w:r>
    <w:r>
      <w:rPr>
        <w:rFonts w:ascii="Arial" w:hAnsi="Arial" w:cs="Arial"/>
        <w:sz w:val="18"/>
        <w:szCs w:val="18"/>
      </w:rPr>
      <w:tab/>
    </w:r>
    <w:r w:rsidR="005312FB" w:rsidRPr="00D000BB">
      <w:rPr>
        <w:rStyle w:val="PageNumber"/>
        <w:rFonts w:ascii="Arial" w:hAnsi="Arial" w:cs="Arial"/>
        <w:sz w:val="18"/>
        <w:szCs w:val="18"/>
      </w:rPr>
      <w:fldChar w:fldCharType="begin"/>
    </w:r>
    <w:r w:rsidRPr="00D000BB">
      <w:rPr>
        <w:rStyle w:val="PageNumber"/>
        <w:rFonts w:ascii="Arial" w:hAnsi="Arial" w:cs="Arial"/>
        <w:sz w:val="18"/>
        <w:szCs w:val="18"/>
      </w:rPr>
      <w:instrText xml:space="preserve"> PAGE </w:instrText>
    </w:r>
    <w:r w:rsidR="005312FB" w:rsidRPr="00D000BB">
      <w:rPr>
        <w:rStyle w:val="PageNumber"/>
        <w:rFonts w:ascii="Arial" w:hAnsi="Arial" w:cs="Arial"/>
        <w:sz w:val="18"/>
        <w:szCs w:val="18"/>
      </w:rPr>
      <w:fldChar w:fldCharType="separate"/>
    </w:r>
    <w:r w:rsidR="00C423DA">
      <w:rPr>
        <w:rStyle w:val="PageNumber"/>
        <w:rFonts w:ascii="Arial" w:hAnsi="Arial" w:cs="Arial"/>
        <w:noProof/>
        <w:sz w:val="18"/>
        <w:szCs w:val="18"/>
      </w:rPr>
      <w:t>1</w:t>
    </w:r>
    <w:r w:rsidR="005312FB" w:rsidRPr="00D000BB">
      <w:rPr>
        <w:rStyle w:val="PageNumber"/>
        <w:rFonts w:ascii="Arial" w:hAnsi="Arial" w:cs="Arial"/>
        <w:sz w:val="18"/>
        <w:szCs w:val="18"/>
      </w:rPr>
      <w:fldChar w:fldCharType="end"/>
    </w:r>
    <w:r>
      <w:rPr>
        <w:rStyle w:val="PageNumber"/>
      </w:rPr>
      <w:tab/>
    </w:r>
    <w:r w:rsidR="00DA57C9">
      <w:rPr>
        <w:rFonts w:ascii="Arial" w:hAnsi="Arial" w:cs="Arial"/>
        <w:sz w:val="18"/>
        <w:szCs w:val="18"/>
      </w:rPr>
      <w:t>December 2013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7C9" w:rsidRPr="008D4E7A" w:rsidRDefault="00DA57C9" w:rsidP="00DA57C9">
    <w:pPr>
      <w:pStyle w:val="Footer"/>
      <w:tabs>
        <w:tab w:val="clear" w:pos="4320"/>
        <w:tab w:val="clear" w:pos="8640"/>
        <w:tab w:val="left" w:pos="-1620"/>
        <w:tab w:val="left" w:pos="-360"/>
        <w:tab w:val="center" w:pos="6480"/>
        <w:tab w:val="right" w:pos="12870"/>
        <w:tab w:val="right" w:pos="13140"/>
        <w:tab w:val="right" w:pos="13860"/>
      </w:tabs>
      <w:ind w:right="-36"/>
      <w:rPr>
        <w:rFonts w:ascii="Arial" w:hAnsi="Arial" w:cs="Arial"/>
        <w:sz w:val="18"/>
        <w:szCs w:val="18"/>
      </w:rPr>
    </w:pPr>
    <w:r>
      <w:rPr>
        <w:rFonts w:ascii="Arial" w:hAnsi="Arial" w:cs="Arial"/>
        <w:sz w:val="18"/>
        <w:szCs w:val="18"/>
      </w:rPr>
      <w:t>The Governor’s 2014-16 Introduced Budget</w:t>
    </w:r>
    <w:r>
      <w:rPr>
        <w:rFonts w:ascii="Arial" w:hAnsi="Arial" w:cs="Arial"/>
        <w:sz w:val="18"/>
        <w:szCs w:val="18"/>
      </w:rPr>
      <w:tab/>
    </w:r>
    <w:r w:rsidR="005312FB" w:rsidRPr="00D000BB">
      <w:rPr>
        <w:rStyle w:val="PageNumber"/>
        <w:rFonts w:ascii="Arial" w:hAnsi="Arial" w:cs="Arial"/>
        <w:sz w:val="18"/>
        <w:szCs w:val="18"/>
      </w:rPr>
      <w:fldChar w:fldCharType="begin"/>
    </w:r>
    <w:r w:rsidRPr="00D000BB">
      <w:rPr>
        <w:rStyle w:val="PageNumber"/>
        <w:rFonts w:ascii="Arial" w:hAnsi="Arial" w:cs="Arial"/>
        <w:sz w:val="18"/>
        <w:szCs w:val="18"/>
      </w:rPr>
      <w:instrText xml:space="preserve"> PAGE </w:instrText>
    </w:r>
    <w:r w:rsidR="005312FB" w:rsidRPr="00D000BB">
      <w:rPr>
        <w:rStyle w:val="PageNumber"/>
        <w:rFonts w:ascii="Arial" w:hAnsi="Arial" w:cs="Arial"/>
        <w:sz w:val="18"/>
        <w:szCs w:val="18"/>
      </w:rPr>
      <w:fldChar w:fldCharType="separate"/>
    </w:r>
    <w:r w:rsidR="00C423DA">
      <w:rPr>
        <w:rStyle w:val="PageNumber"/>
        <w:rFonts w:ascii="Arial" w:hAnsi="Arial" w:cs="Arial"/>
        <w:noProof/>
        <w:sz w:val="18"/>
        <w:szCs w:val="18"/>
      </w:rPr>
      <w:t>13</w:t>
    </w:r>
    <w:r w:rsidR="005312FB" w:rsidRPr="00D000BB">
      <w:rPr>
        <w:rStyle w:val="PageNumber"/>
        <w:rFonts w:ascii="Arial" w:hAnsi="Arial" w:cs="Arial"/>
        <w:sz w:val="18"/>
        <w:szCs w:val="18"/>
      </w:rPr>
      <w:fldChar w:fldCharType="end"/>
    </w:r>
    <w:r>
      <w:rPr>
        <w:rStyle w:val="PageNumber"/>
      </w:rPr>
      <w:tab/>
    </w:r>
    <w:r>
      <w:rPr>
        <w:rFonts w:ascii="Arial" w:hAnsi="Arial" w:cs="Arial"/>
        <w:sz w:val="18"/>
        <w:szCs w:val="18"/>
      </w:rPr>
      <w:t>January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428" w:rsidRDefault="008D2428">
      <w:pPr>
        <w:rPr>
          <w:rFonts w:hint="eastAsia"/>
        </w:rPr>
      </w:pPr>
      <w:r>
        <w:separator/>
      </w:r>
    </w:p>
  </w:footnote>
  <w:footnote w:type="continuationSeparator" w:id="0">
    <w:p w:rsidR="008D2428" w:rsidRDefault="008D2428">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2C5"/>
    <w:multiLevelType w:val="hybridMultilevel"/>
    <w:tmpl w:val="18E098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55022"/>
    <w:multiLevelType w:val="hybridMultilevel"/>
    <w:tmpl w:val="56A44EC8"/>
    <w:lvl w:ilvl="0" w:tplc="7D861F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933A3"/>
    <w:multiLevelType w:val="hybridMultilevel"/>
    <w:tmpl w:val="7D942BAE"/>
    <w:lvl w:ilvl="0" w:tplc="945E48FE">
      <w:start w:val="1"/>
      <w:numFmt w:val="bullet"/>
      <w:lvlText w:val=""/>
      <w:lvlJc w:val="left"/>
      <w:pPr>
        <w:ind w:left="721" w:hanging="360"/>
      </w:pPr>
      <w:rPr>
        <w:rFonts w:ascii="Wingdings" w:hAnsi="Wingdings" w:hint="default"/>
        <w:u w:color="000000"/>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
    <w:nsid w:val="092D2FEE"/>
    <w:multiLevelType w:val="hybridMultilevel"/>
    <w:tmpl w:val="E102BDBE"/>
    <w:lvl w:ilvl="0" w:tplc="0DE20CF0">
      <w:start w:val="1"/>
      <w:numFmt w:val="bullet"/>
      <w:lvlText w:val=""/>
      <w:lvlJc w:val="left"/>
      <w:pPr>
        <w:tabs>
          <w:tab w:val="num" w:pos="1512"/>
        </w:tabs>
        <w:ind w:left="1512" w:hanging="432"/>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3A7410"/>
    <w:multiLevelType w:val="hybridMultilevel"/>
    <w:tmpl w:val="D718421A"/>
    <w:lvl w:ilvl="0" w:tplc="945E48FE">
      <w:start w:val="1"/>
      <w:numFmt w:val="bullet"/>
      <w:lvlText w:val=""/>
      <w:lvlJc w:val="left"/>
      <w:pPr>
        <w:ind w:left="720" w:hanging="360"/>
      </w:pPr>
      <w:rPr>
        <w:rFonts w:ascii="Wingdings" w:hAnsi="Wingdings" w:hint="default"/>
        <w:u w:color="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487B21"/>
    <w:multiLevelType w:val="hybridMultilevel"/>
    <w:tmpl w:val="F41EB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B30166"/>
    <w:multiLevelType w:val="hybridMultilevel"/>
    <w:tmpl w:val="BC70B1A4"/>
    <w:lvl w:ilvl="0" w:tplc="945E48FE">
      <w:start w:val="1"/>
      <w:numFmt w:val="bullet"/>
      <w:lvlText w:val=""/>
      <w:lvlJc w:val="left"/>
      <w:pPr>
        <w:ind w:left="720" w:hanging="360"/>
      </w:pPr>
      <w:rPr>
        <w:rFonts w:ascii="Wingdings" w:hAnsi="Wingdings" w:hint="default"/>
        <w:u w:color="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3530AC"/>
    <w:multiLevelType w:val="hybridMultilevel"/>
    <w:tmpl w:val="F83E18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7F7011"/>
    <w:multiLevelType w:val="hybridMultilevel"/>
    <w:tmpl w:val="1CA6571A"/>
    <w:lvl w:ilvl="0" w:tplc="945E48FE">
      <w:start w:val="1"/>
      <w:numFmt w:val="bullet"/>
      <w:lvlText w:val=""/>
      <w:lvlJc w:val="left"/>
      <w:pPr>
        <w:ind w:left="720" w:hanging="360"/>
      </w:pPr>
      <w:rPr>
        <w:rFonts w:ascii="Wingdings" w:hAnsi="Wingdings" w:hint="default"/>
        <w:u w:color="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38243F"/>
    <w:multiLevelType w:val="hybridMultilevel"/>
    <w:tmpl w:val="8556B9B2"/>
    <w:lvl w:ilvl="0" w:tplc="945E48FE">
      <w:start w:val="1"/>
      <w:numFmt w:val="bullet"/>
      <w:lvlText w:val=""/>
      <w:lvlJc w:val="left"/>
      <w:pPr>
        <w:ind w:left="720" w:hanging="360"/>
      </w:pPr>
      <w:rPr>
        <w:rFonts w:ascii="Wingdings" w:hAnsi="Wingdings" w:hint="default"/>
        <w:u w:color="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E7516D"/>
    <w:multiLevelType w:val="hybridMultilevel"/>
    <w:tmpl w:val="174E6360"/>
    <w:lvl w:ilvl="0" w:tplc="945E48FE">
      <w:start w:val="1"/>
      <w:numFmt w:val="bullet"/>
      <w:lvlText w:val=""/>
      <w:lvlJc w:val="left"/>
      <w:pPr>
        <w:ind w:left="765" w:hanging="360"/>
      </w:pPr>
      <w:rPr>
        <w:rFonts w:ascii="Wingdings" w:hAnsi="Wingdings" w:hint="default"/>
        <w:u w:color="00000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53EB1CAA"/>
    <w:multiLevelType w:val="hybridMultilevel"/>
    <w:tmpl w:val="9F6223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276F74"/>
    <w:multiLevelType w:val="hybridMultilevel"/>
    <w:tmpl w:val="23E2E8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2E4C25"/>
    <w:multiLevelType w:val="hybridMultilevel"/>
    <w:tmpl w:val="C024BD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44799D"/>
    <w:multiLevelType w:val="hybridMultilevel"/>
    <w:tmpl w:val="7E5C1F84"/>
    <w:lvl w:ilvl="0" w:tplc="945E48FE">
      <w:start w:val="1"/>
      <w:numFmt w:val="bullet"/>
      <w:lvlText w:val=""/>
      <w:lvlJc w:val="left"/>
      <w:pPr>
        <w:ind w:left="720" w:hanging="360"/>
      </w:pPr>
      <w:rPr>
        <w:rFonts w:ascii="Wingdings" w:hAnsi="Wingdings" w:hint="default"/>
        <w:u w:color="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457249"/>
    <w:multiLevelType w:val="hybridMultilevel"/>
    <w:tmpl w:val="32F89F94"/>
    <w:lvl w:ilvl="0" w:tplc="945E48FE">
      <w:start w:val="1"/>
      <w:numFmt w:val="bullet"/>
      <w:lvlText w:val=""/>
      <w:lvlJc w:val="left"/>
      <w:pPr>
        <w:ind w:left="720" w:hanging="360"/>
      </w:pPr>
      <w:rPr>
        <w:rFonts w:ascii="Wingdings" w:hAnsi="Wingdings" w:hint="default"/>
        <w:u w:color="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7A09CD"/>
    <w:multiLevelType w:val="hybridMultilevel"/>
    <w:tmpl w:val="4A867BFA"/>
    <w:lvl w:ilvl="0" w:tplc="945E48FE">
      <w:start w:val="1"/>
      <w:numFmt w:val="bullet"/>
      <w:lvlText w:val=""/>
      <w:lvlJc w:val="left"/>
      <w:pPr>
        <w:ind w:left="720" w:hanging="360"/>
      </w:pPr>
      <w:rPr>
        <w:rFonts w:ascii="Wingdings" w:hAnsi="Wingdings" w:hint="default"/>
        <w:u w:color="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8E7349"/>
    <w:multiLevelType w:val="hybridMultilevel"/>
    <w:tmpl w:val="9AD8E612"/>
    <w:lvl w:ilvl="0" w:tplc="04090005">
      <w:start w:val="1"/>
      <w:numFmt w:val="bullet"/>
      <w:lvlText w:val=""/>
      <w:lvlJc w:val="left"/>
      <w:pPr>
        <w:ind w:left="811" w:hanging="360"/>
      </w:pPr>
      <w:rPr>
        <w:rFonts w:ascii="Wingdings" w:hAnsi="Wingdings"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18">
    <w:nsid w:val="6BBA0889"/>
    <w:multiLevelType w:val="hybridMultilevel"/>
    <w:tmpl w:val="1EC49E22"/>
    <w:lvl w:ilvl="0" w:tplc="945E48FE">
      <w:start w:val="1"/>
      <w:numFmt w:val="bullet"/>
      <w:lvlText w:val=""/>
      <w:lvlJc w:val="left"/>
      <w:pPr>
        <w:ind w:left="720" w:hanging="360"/>
      </w:pPr>
      <w:rPr>
        <w:rFonts w:ascii="Wingdings" w:hAnsi="Wingdings" w:hint="default"/>
        <w:u w:color="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BD2C05"/>
    <w:multiLevelType w:val="hybridMultilevel"/>
    <w:tmpl w:val="FA0C54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AD458B"/>
    <w:multiLevelType w:val="hybridMultilevel"/>
    <w:tmpl w:val="DBC6EE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C806DC"/>
    <w:multiLevelType w:val="hybridMultilevel"/>
    <w:tmpl w:val="A2368FDA"/>
    <w:lvl w:ilvl="0" w:tplc="D1C88E08">
      <w:start w:val="1"/>
      <w:numFmt w:val="bullet"/>
      <w:lvlText w:val=""/>
      <w:lvlJc w:val="left"/>
      <w:pPr>
        <w:tabs>
          <w:tab w:val="num" w:pos="720"/>
        </w:tabs>
        <w:ind w:left="720" w:hanging="360"/>
      </w:pPr>
      <w:rPr>
        <w:rFonts w:ascii="Wingdings" w:hAnsi="Wingdings" w:hint="default"/>
        <w:u w:color="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21"/>
  </w:num>
  <w:num w:numId="3">
    <w:abstractNumId w:val="16"/>
  </w:num>
  <w:num w:numId="4">
    <w:abstractNumId w:val="4"/>
  </w:num>
  <w:num w:numId="5">
    <w:abstractNumId w:val="9"/>
  </w:num>
  <w:num w:numId="6">
    <w:abstractNumId w:val="14"/>
  </w:num>
  <w:num w:numId="7">
    <w:abstractNumId w:val="6"/>
  </w:num>
  <w:num w:numId="8">
    <w:abstractNumId w:val="2"/>
  </w:num>
  <w:num w:numId="9">
    <w:abstractNumId w:val="18"/>
  </w:num>
  <w:num w:numId="10">
    <w:abstractNumId w:val="8"/>
  </w:num>
  <w:num w:numId="11">
    <w:abstractNumId w:val="15"/>
  </w:num>
  <w:num w:numId="12">
    <w:abstractNumId w:val="10"/>
  </w:num>
  <w:num w:numId="13">
    <w:abstractNumId w:val="1"/>
  </w:num>
  <w:num w:numId="14">
    <w:abstractNumId w:val="20"/>
  </w:num>
  <w:num w:numId="15">
    <w:abstractNumId w:val="0"/>
  </w:num>
  <w:num w:numId="16">
    <w:abstractNumId w:val="13"/>
  </w:num>
  <w:num w:numId="17">
    <w:abstractNumId w:val="19"/>
  </w:num>
  <w:num w:numId="18">
    <w:abstractNumId w:val="11"/>
  </w:num>
  <w:num w:numId="19">
    <w:abstractNumId w:val="7"/>
  </w:num>
  <w:num w:numId="20">
    <w:abstractNumId w:val="17"/>
  </w:num>
  <w:num w:numId="21">
    <w:abstractNumId w:val="12"/>
  </w:num>
  <w:num w:numId="22">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312BC0"/>
    <w:rsid w:val="000011BE"/>
    <w:rsid w:val="0000148A"/>
    <w:rsid w:val="00005905"/>
    <w:rsid w:val="0000603A"/>
    <w:rsid w:val="00006485"/>
    <w:rsid w:val="00007814"/>
    <w:rsid w:val="00010AEB"/>
    <w:rsid w:val="0001191F"/>
    <w:rsid w:val="00015114"/>
    <w:rsid w:val="00020003"/>
    <w:rsid w:val="000273DC"/>
    <w:rsid w:val="00032439"/>
    <w:rsid w:val="0003487E"/>
    <w:rsid w:val="00040E55"/>
    <w:rsid w:val="00041527"/>
    <w:rsid w:val="00043F57"/>
    <w:rsid w:val="000463A1"/>
    <w:rsid w:val="000506D3"/>
    <w:rsid w:val="00057CC0"/>
    <w:rsid w:val="0006634E"/>
    <w:rsid w:val="000743A5"/>
    <w:rsid w:val="00074765"/>
    <w:rsid w:val="000755B7"/>
    <w:rsid w:val="00077542"/>
    <w:rsid w:val="00077581"/>
    <w:rsid w:val="00077885"/>
    <w:rsid w:val="00082266"/>
    <w:rsid w:val="000842CD"/>
    <w:rsid w:val="00085B80"/>
    <w:rsid w:val="0008656B"/>
    <w:rsid w:val="000B0122"/>
    <w:rsid w:val="000B01F3"/>
    <w:rsid w:val="000B2407"/>
    <w:rsid w:val="000B2FCA"/>
    <w:rsid w:val="000B3FA0"/>
    <w:rsid w:val="000B6491"/>
    <w:rsid w:val="000C250E"/>
    <w:rsid w:val="000D0CCB"/>
    <w:rsid w:val="000D1038"/>
    <w:rsid w:val="000D235D"/>
    <w:rsid w:val="000F0DA5"/>
    <w:rsid w:val="000F1026"/>
    <w:rsid w:val="000F3474"/>
    <w:rsid w:val="000F39DF"/>
    <w:rsid w:val="000F4919"/>
    <w:rsid w:val="000F66B7"/>
    <w:rsid w:val="000F7EB8"/>
    <w:rsid w:val="00100EFF"/>
    <w:rsid w:val="00102739"/>
    <w:rsid w:val="00102874"/>
    <w:rsid w:val="001033FC"/>
    <w:rsid w:val="00104145"/>
    <w:rsid w:val="00105108"/>
    <w:rsid w:val="00106897"/>
    <w:rsid w:val="00110AAA"/>
    <w:rsid w:val="00111B9C"/>
    <w:rsid w:val="00113AA0"/>
    <w:rsid w:val="00114676"/>
    <w:rsid w:val="00131F41"/>
    <w:rsid w:val="0013350A"/>
    <w:rsid w:val="00134582"/>
    <w:rsid w:val="0013559C"/>
    <w:rsid w:val="0013605F"/>
    <w:rsid w:val="00136A83"/>
    <w:rsid w:val="0014136B"/>
    <w:rsid w:val="001414BC"/>
    <w:rsid w:val="00144E45"/>
    <w:rsid w:val="00147EA6"/>
    <w:rsid w:val="00151F9A"/>
    <w:rsid w:val="001537C5"/>
    <w:rsid w:val="00153CAD"/>
    <w:rsid w:val="001618A0"/>
    <w:rsid w:val="00162A97"/>
    <w:rsid w:val="00166174"/>
    <w:rsid w:val="001704B3"/>
    <w:rsid w:val="0017146A"/>
    <w:rsid w:val="00171703"/>
    <w:rsid w:val="00171992"/>
    <w:rsid w:val="001720B8"/>
    <w:rsid w:val="00172A2B"/>
    <w:rsid w:val="00182780"/>
    <w:rsid w:val="00182C7F"/>
    <w:rsid w:val="00183809"/>
    <w:rsid w:val="00185B53"/>
    <w:rsid w:val="00187316"/>
    <w:rsid w:val="00187C4E"/>
    <w:rsid w:val="00192C5A"/>
    <w:rsid w:val="001938FE"/>
    <w:rsid w:val="001A0DBE"/>
    <w:rsid w:val="001A18EE"/>
    <w:rsid w:val="001A412E"/>
    <w:rsid w:val="001A75BF"/>
    <w:rsid w:val="001B2CE5"/>
    <w:rsid w:val="001B5B22"/>
    <w:rsid w:val="001B6473"/>
    <w:rsid w:val="001C1417"/>
    <w:rsid w:val="001C1438"/>
    <w:rsid w:val="001C41EA"/>
    <w:rsid w:val="001C4522"/>
    <w:rsid w:val="001C528A"/>
    <w:rsid w:val="001D1243"/>
    <w:rsid w:val="001D525A"/>
    <w:rsid w:val="001D6663"/>
    <w:rsid w:val="001E1F7C"/>
    <w:rsid w:val="001E2319"/>
    <w:rsid w:val="001E2499"/>
    <w:rsid w:val="001E4B64"/>
    <w:rsid w:val="001E623D"/>
    <w:rsid w:val="001E7E40"/>
    <w:rsid w:val="001F0F1C"/>
    <w:rsid w:val="001F4C0E"/>
    <w:rsid w:val="001F5C8C"/>
    <w:rsid w:val="001F7B0B"/>
    <w:rsid w:val="00202E3A"/>
    <w:rsid w:val="00210651"/>
    <w:rsid w:val="00211EB4"/>
    <w:rsid w:val="002131F9"/>
    <w:rsid w:val="002147DA"/>
    <w:rsid w:val="00215764"/>
    <w:rsid w:val="00215BE5"/>
    <w:rsid w:val="002166E5"/>
    <w:rsid w:val="00217817"/>
    <w:rsid w:val="00221499"/>
    <w:rsid w:val="00221BA8"/>
    <w:rsid w:val="002243D8"/>
    <w:rsid w:val="00224F3D"/>
    <w:rsid w:val="00225A5E"/>
    <w:rsid w:val="002275F6"/>
    <w:rsid w:val="00227F54"/>
    <w:rsid w:val="00230AAB"/>
    <w:rsid w:val="002314D0"/>
    <w:rsid w:val="00231979"/>
    <w:rsid w:val="00245008"/>
    <w:rsid w:val="002504E7"/>
    <w:rsid w:val="00250AA0"/>
    <w:rsid w:val="00251006"/>
    <w:rsid w:val="00251D7D"/>
    <w:rsid w:val="0025296E"/>
    <w:rsid w:val="002561EF"/>
    <w:rsid w:val="002562C4"/>
    <w:rsid w:val="00262955"/>
    <w:rsid w:val="0026305D"/>
    <w:rsid w:val="00263AC1"/>
    <w:rsid w:val="002702DC"/>
    <w:rsid w:val="002713C8"/>
    <w:rsid w:val="00272255"/>
    <w:rsid w:val="00275718"/>
    <w:rsid w:val="00276BD9"/>
    <w:rsid w:val="00281DC5"/>
    <w:rsid w:val="0028467B"/>
    <w:rsid w:val="00284772"/>
    <w:rsid w:val="00286336"/>
    <w:rsid w:val="00286AD8"/>
    <w:rsid w:val="002953C6"/>
    <w:rsid w:val="00297A75"/>
    <w:rsid w:val="002A3486"/>
    <w:rsid w:val="002A5B68"/>
    <w:rsid w:val="002B12F8"/>
    <w:rsid w:val="002C4321"/>
    <w:rsid w:val="002C7D11"/>
    <w:rsid w:val="002D12E0"/>
    <w:rsid w:val="002D15B0"/>
    <w:rsid w:val="002D18FC"/>
    <w:rsid w:val="002D2769"/>
    <w:rsid w:val="002D2952"/>
    <w:rsid w:val="002D5331"/>
    <w:rsid w:val="002E2E45"/>
    <w:rsid w:val="002E3C5C"/>
    <w:rsid w:val="002F413D"/>
    <w:rsid w:val="002F5F34"/>
    <w:rsid w:val="002F76B6"/>
    <w:rsid w:val="00300436"/>
    <w:rsid w:val="00312BC0"/>
    <w:rsid w:val="003143A7"/>
    <w:rsid w:val="00315355"/>
    <w:rsid w:val="00316D23"/>
    <w:rsid w:val="003173E3"/>
    <w:rsid w:val="00317EDD"/>
    <w:rsid w:val="00323B5B"/>
    <w:rsid w:val="00323F2A"/>
    <w:rsid w:val="00324E22"/>
    <w:rsid w:val="00326448"/>
    <w:rsid w:val="00330FDC"/>
    <w:rsid w:val="003352F8"/>
    <w:rsid w:val="003354AA"/>
    <w:rsid w:val="00336015"/>
    <w:rsid w:val="003425DA"/>
    <w:rsid w:val="003446A4"/>
    <w:rsid w:val="00345100"/>
    <w:rsid w:val="00350351"/>
    <w:rsid w:val="00351568"/>
    <w:rsid w:val="003517B8"/>
    <w:rsid w:val="003552F3"/>
    <w:rsid w:val="003558BC"/>
    <w:rsid w:val="003559BA"/>
    <w:rsid w:val="00356EC9"/>
    <w:rsid w:val="00357103"/>
    <w:rsid w:val="00357B7C"/>
    <w:rsid w:val="00362591"/>
    <w:rsid w:val="003647F4"/>
    <w:rsid w:val="003714B8"/>
    <w:rsid w:val="00373C72"/>
    <w:rsid w:val="003744D0"/>
    <w:rsid w:val="00375252"/>
    <w:rsid w:val="00375B85"/>
    <w:rsid w:val="003821B9"/>
    <w:rsid w:val="0038322B"/>
    <w:rsid w:val="00384ECF"/>
    <w:rsid w:val="00386C49"/>
    <w:rsid w:val="00387DE2"/>
    <w:rsid w:val="003926EA"/>
    <w:rsid w:val="00392C86"/>
    <w:rsid w:val="00393600"/>
    <w:rsid w:val="00396681"/>
    <w:rsid w:val="003A22C5"/>
    <w:rsid w:val="003A5B36"/>
    <w:rsid w:val="003A7393"/>
    <w:rsid w:val="003B0E08"/>
    <w:rsid w:val="003B3431"/>
    <w:rsid w:val="003B34DC"/>
    <w:rsid w:val="003B4721"/>
    <w:rsid w:val="003B516B"/>
    <w:rsid w:val="003B51F5"/>
    <w:rsid w:val="003B6703"/>
    <w:rsid w:val="003B6AC2"/>
    <w:rsid w:val="003D048D"/>
    <w:rsid w:val="003D227A"/>
    <w:rsid w:val="003D3C24"/>
    <w:rsid w:val="003E2DB5"/>
    <w:rsid w:val="003E2FDC"/>
    <w:rsid w:val="003F3051"/>
    <w:rsid w:val="003F7428"/>
    <w:rsid w:val="003F7D8E"/>
    <w:rsid w:val="00400EFC"/>
    <w:rsid w:val="00401418"/>
    <w:rsid w:val="004014CB"/>
    <w:rsid w:val="00403EF6"/>
    <w:rsid w:val="00407196"/>
    <w:rsid w:val="00407197"/>
    <w:rsid w:val="00407F14"/>
    <w:rsid w:val="00411E76"/>
    <w:rsid w:val="0041231B"/>
    <w:rsid w:val="004125E7"/>
    <w:rsid w:val="0041559C"/>
    <w:rsid w:val="00415E06"/>
    <w:rsid w:val="004165F9"/>
    <w:rsid w:val="00420386"/>
    <w:rsid w:val="004324D5"/>
    <w:rsid w:val="00432A6E"/>
    <w:rsid w:val="00432D77"/>
    <w:rsid w:val="004334EA"/>
    <w:rsid w:val="00434397"/>
    <w:rsid w:val="00436352"/>
    <w:rsid w:val="00436D4F"/>
    <w:rsid w:val="00440A2F"/>
    <w:rsid w:val="00441D89"/>
    <w:rsid w:val="00444BA1"/>
    <w:rsid w:val="00445EBC"/>
    <w:rsid w:val="0045023E"/>
    <w:rsid w:val="00451E69"/>
    <w:rsid w:val="004545F6"/>
    <w:rsid w:val="00455919"/>
    <w:rsid w:val="004628A8"/>
    <w:rsid w:val="00464737"/>
    <w:rsid w:val="00466243"/>
    <w:rsid w:val="004679B4"/>
    <w:rsid w:val="004703F4"/>
    <w:rsid w:val="00473D6B"/>
    <w:rsid w:val="00476066"/>
    <w:rsid w:val="00483AA2"/>
    <w:rsid w:val="00490943"/>
    <w:rsid w:val="00492B75"/>
    <w:rsid w:val="00497CA2"/>
    <w:rsid w:val="004A118B"/>
    <w:rsid w:val="004A1760"/>
    <w:rsid w:val="004A221A"/>
    <w:rsid w:val="004A22ED"/>
    <w:rsid w:val="004A26EB"/>
    <w:rsid w:val="004A3842"/>
    <w:rsid w:val="004A447B"/>
    <w:rsid w:val="004A7D98"/>
    <w:rsid w:val="004B1A6B"/>
    <w:rsid w:val="004B2313"/>
    <w:rsid w:val="004C3AFE"/>
    <w:rsid w:val="004C4BC0"/>
    <w:rsid w:val="004D0B7C"/>
    <w:rsid w:val="004E1650"/>
    <w:rsid w:val="004E2B31"/>
    <w:rsid w:val="004E3A4B"/>
    <w:rsid w:val="004F43AC"/>
    <w:rsid w:val="004F7C70"/>
    <w:rsid w:val="005036C1"/>
    <w:rsid w:val="005045FA"/>
    <w:rsid w:val="0051042D"/>
    <w:rsid w:val="00513E89"/>
    <w:rsid w:val="00516068"/>
    <w:rsid w:val="005228AD"/>
    <w:rsid w:val="00522F9F"/>
    <w:rsid w:val="00523A3F"/>
    <w:rsid w:val="00524839"/>
    <w:rsid w:val="00526F04"/>
    <w:rsid w:val="00527270"/>
    <w:rsid w:val="00527281"/>
    <w:rsid w:val="005312FB"/>
    <w:rsid w:val="00532517"/>
    <w:rsid w:val="0054594A"/>
    <w:rsid w:val="0054738A"/>
    <w:rsid w:val="00547B29"/>
    <w:rsid w:val="00551B7B"/>
    <w:rsid w:val="0055315B"/>
    <w:rsid w:val="005534D5"/>
    <w:rsid w:val="00553604"/>
    <w:rsid w:val="00553F52"/>
    <w:rsid w:val="005542F6"/>
    <w:rsid w:val="00554744"/>
    <w:rsid w:val="00562C18"/>
    <w:rsid w:val="005648F3"/>
    <w:rsid w:val="0057421A"/>
    <w:rsid w:val="0058017A"/>
    <w:rsid w:val="00580797"/>
    <w:rsid w:val="00581DA0"/>
    <w:rsid w:val="0059342D"/>
    <w:rsid w:val="00594406"/>
    <w:rsid w:val="00596A98"/>
    <w:rsid w:val="00597828"/>
    <w:rsid w:val="005A0AAB"/>
    <w:rsid w:val="005A0C21"/>
    <w:rsid w:val="005A218E"/>
    <w:rsid w:val="005A252E"/>
    <w:rsid w:val="005A26B3"/>
    <w:rsid w:val="005A6E22"/>
    <w:rsid w:val="005B2933"/>
    <w:rsid w:val="005B6675"/>
    <w:rsid w:val="005C57D2"/>
    <w:rsid w:val="005C7DDD"/>
    <w:rsid w:val="005D0FCC"/>
    <w:rsid w:val="005D1C7B"/>
    <w:rsid w:val="005D21EA"/>
    <w:rsid w:val="005D2972"/>
    <w:rsid w:val="005D310E"/>
    <w:rsid w:val="005D4363"/>
    <w:rsid w:val="005D55A4"/>
    <w:rsid w:val="005D6BBF"/>
    <w:rsid w:val="005E27BB"/>
    <w:rsid w:val="005E3B47"/>
    <w:rsid w:val="005E40A2"/>
    <w:rsid w:val="005F19A8"/>
    <w:rsid w:val="005F25A8"/>
    <w:rsid w:val="005F45E4"/>
    <w:rsid w:val="005F489E"/>
    <w:rsid w:val="005F5D86"/>
    <w:rsid w:val="00602871"/>
    <w:rsid w:val="00602D0A"/>
    <w:rsid w:val="00603EAB"/>
    <w:rsid w:val="00607DEA"/>
    <w:rsid w:val="006105A0"/>
    <w:rsid w:val="006134E0"/>
    <w:rsid w:val="00613D6A"/>
    <w:rsid w:val="0061758E"/>
    <w:rsid w:val="006204A5"/>
    <w:rsid w:val="006216B2"/>
    <w:rsid w:val="006218A3"/>
    <w:rsid w:val="00622BA0"/>
    <w:rsid w:val="006307FF"/>
    <w:rsid w:val="00633AB2"/>
    <w:rsid w:val="006362E7"/>
    <w:rsid w:val="00636CBC"/>
    <w:rsid w:val="006377A6"/>
    <w:rsid w:val="00637CAA"/>
    <w:rsid w:val="00641425"/>
    <w:rsid w:val="00641C2C"/>
    <w:rsid w:val="00644401"/>
    <w:rsid w:val="00644620"/>
    <w:rsid w:val="00644CEF"/>
    <w:rsid w:val="00644DFB"/>
    <w:rsid w:val="006460ED"/>
    <w:rsid w:val="00647AC4"/>
    <w:rsid w:val="00647CCA"/>
    <w:rsid w:val="006504B5"/>
    <w:rsid w:val="006515B9"/>
    <w:rsid w:val="00652C0B"/>
    <w:rsid w:val="00656D66"/>
    <w:rsid w:val="00663E58"/>
    <w:rsid w:val="00664971"/>
    <w:rsid w:val="00667388"/>
    <w:rsid w:val="0067250C"/>
    <w:rsid w:val="00675827"/>
    <w:rsid w:val="0067762C"/>
    <w:rsid w:val="00680059"/>
    <w:rsid w:val="0068287B"/>
    <w:rsid w:val="00686EC8"/>
    <w:rsid w:val="006903AF"/>
    <w:rsid w:val="0069187D"/>
    <w:rsid w:val="00692AA6"/>
    <w:rsid w:val="00693078"/>
    <w:rsid w:val="00693FA1"/>
    <w:rsid w:val="006965A0"/>
    <w:rsid w:val="0069789F"/>
    <w:rsid w:val="006A2B5C"/>
    <w:rsid w:val="006A2C3E"/>
    <w:rsid w:val="006B0186"/>
    <w:rsid w:val="006B3E8A"/>
    <w:rsid w:val="006B7618"/>
    <w:rsid w:val="006C2DD6"/>
    <w:rsid w:val="006C3EF8"/>
    <w:rsid w:val="006C407F"/>
    <w:rsid w:val="006C4210"/>
    <w:rsid w:val="006C59D2"/>
    <w:rsid w:val="006D19CD"/>
    <w:rsid w:val="006D23AF"/>
    <w:rsid w:val="006D47E1"/>
    <w:rsid w:val="006D5057"/>
    <w:rsid w:val="006D7E56"/>
    <w:rsid w:val="006E3390"/>
    <w:rsid w:val="006E36AB"/>
    <w:rsid w:val="006E3DC0"/>
    <w:rsid w:val="006E7792"/>
    <w:rsid w:val="006F07F4"/>
    <w:rsid w:val="006F39DD"/>
    <w:rsid w:val="006F5052"/>
    <w:rsid w:val="00701085"/>
    <w:rsid w:val="00713569"/>
    <w:rsid w:val="00713D22"/>
    <w:rsid w:val="00716569"/>
    <w:rsid w:val="00717D4E"/>
    <w:rsid w:val="00722F1B"/>
    <w:rsid w:val="00723139"/>
    <w:rsid w:val="00724BE4"/>
    <w:rsid w:val="0072673E"/>
    <w:rsid w:val="007279DC"/>
    <w:rsid w:val="007300A4"/>
    <w:rsid w:val="00737C2B"/>
    <w:rsid w:val="00743187"/>
    <w:rsid w:val="00743867"/>
    <w:rsid w:val="00743AE6"/>
    <w:rsid w:val="0074680C"/>
    <w:rsid w:val="007475D2"/>
    <w:rsid w:val="00751273"/>
    <w:rsid w:val="00756327"/>
    <w:rsid w:val="007565B2"/>
    <w:rsid w:val="00756F39"/>
    <w:rsid w:val="00761819"/>
    <w:rsid w:val="00767D05"/>
    <w:rsid w:val="0077066A"/>
    <w:rsid w:val="00776A9C"/>
    <w:rsid w:val="00776B3A"/>
    <w:rsid w:val="00777B64"/>
    <w:rsid w:val="00780CD2"/>
    <w:rsid w:val="00781759"/>
    <w:rsid w:val="007826F9"/>
    <w:rsid w:val="00784599"/>
    <w:rsid w:val="0078638E"/>
    <w:rsid w:val="0079027E"/>
    <w:rsid w:val="00795359"/>
    <w:rsid w:val="007A0B24"/>
    <w:rsid w:val="007A4072"/>
    <w:rsid w:val="007A45A5"/>
    <w:rsid w:val="007A534C"/>
    <w:rsid w:val="007A5898"/>
    <w:rsid w:val="007A68ED"/>
    <w:rsid w:val="007A717F"/>
    <w:rsid w:val="007A79F4"/>
    <w:rsid w:val="007B2ED0"/>
    <w:rsid w:val="007B355F"/>
    <w:rsid w:val="007B65C8"/>
    <w:rsid w:val="007B7AF4"/>
    <w:rsid w:val="007B7F63"/>
    <w:rsid w:val="007C0C78"/>
    <w:rsid w:val="007C1AC1"/>
    <w:rsid w:val="007C29D2"/>
    <w:rsid w:val="007C7C20"/>
    <w:rsid w:val="007D4345"/>
    <w:rsid w:val="007D7171"/>
    <w:rsid w:val="007E293B"/>
    <w:rsid w:val="007E3626"/>
    <w:rsid w:val="007E477B"/>
    <w:rsid w:val="007E503E"/>
    <w:rsid w:val="007E6B09"/>
    <w:rsid w:val="007F0D2A"/>
    <w:rsid w:val="007F355A"/>
    <w:rsid w:val="007F4674"/>
    <w:rsid w:val="007F4CDE"/>
    <w:rsid w:val="007F60C2"/>
    <w:rsid w:val="00803E17"/>
    <w:rsid w:val="00803FB8"/>
    <w:rsid w:val="008067E5"/>
    <w:rsid w:val="0081389C"/>
    <w:rsid w:val="008138C7"/>
    <w:rsid w:val="00814E6C"/>
    <w:rsid w:val="00815340"/>
    <w:rsid w:val="008156AC"/>
    <w:rsid w:val="00816E43"/>
    <w:rsid w:val="00817658"/>
    <w:rsid w:val="00824AF0"/>
    <w:rsid w:val="00831EF6"/>
    <w:rsid w:val="00834C52"/>
    <w:rsid w:val="00835558"/>
    <w:rsid w:val="00843756"/>
    <w:rsid w:val="0084765C"/>
    <w:rsid w:val="00847AD3"/>
    <w:rsid w:val="008557CC"/>
    <w:rsid w:val="008570FC"/>
    <w:rsid w:val="00861A0E"/>
    <w:rsid w:val="0086356E"/>
    <w:rsid w:val="008700DC"/>
    <w:rsid w:val="00873C2D"/>
    <w:rsid w:val="00880AA7"/>
    <w:rsid w:val="00887818"/>
    <w:rsid w:val="00890246"/>
    <w:rsid w:val="00890877"/>
    <w:rsid w:val="008A1841"/>
    <w:rsid w:val="008A2098"/>
    <w:rsid w:val="008A2163"/>
    <w:rsid w:val="008A2E06"/>
    <w:rsid w:val="008A45C4"/>
    <w:rsid w:val="008A4D63"/>
    <w:rsid w:val="008B13F7"/>
    <w:rsid w:val="008B15EF"/>
    <w:rsid w:val="008B7DC1"/>
    <w:rsid w:val="008C27FF"/>
    <w:rsid w:val="008C2ECC"/>
    <w:rsid w:val="008C3360"/>
    <w:rsid w:val="008C3BB5"/>
    <w:rsid w:val="008C3F40"/>
    <w:rsid w:val="008D076A"/>
    <w:rsid w:val="008D1680"/>
    <w:rsid w:val="008D1A64"/>
    <w:rsid w:val="008D2428"/>
    <w:rsid w:val="008D3373"/>
    <w:rsid w:val="008D41E3"/>
    <w:rsid w:val="008D4E7A"/>
    <w:rsid w:val="008D5479"/>
    <w:rsid w:val="008E1A31"/>
    <w:rsid w:val="008E2B83"/>
    <w:rsid w:val="008E3113"/>
    <w:rsid w:val="008E3309"/>
    <w:rsid w:val="008E4157"/>
    <w:rsid w:val="008F0A55"/>
    <w:rsid w:val="008F2E10"/>
    <w:rsid w:val="008F60A4"/>
    <w:rsid w:val="00906349"/>
    <w:rsid w:val="009101DD"/>
    <w:rsid w:val="00914830"/>
    <w:rsid w:val="009216C8"/>
    <w:rsid w:val="0092336D"/>
    <w:rsid w:val="00924675"/>
    <w:rsid w:val="00927689"/>
    <w:rsid w:val="00930D4E"/>
    <w:rsid w:val="00932142"/>
    <w:rsid w:val="00932614"/>
    <w:rsid w:val="009326D2"/>
    <w:rsid w:val="00945FD5"/>
    <w:rsid w:val="00954F16"/>
    <w:rsid w:val="00955691"/>
    <w:rsid w:val="00955FB6"/>
    <w:rsid w:val="0095757C"/>
    <w:rsid w:val="00957A49"/>
    <w:rsid w:val="00965C87"/>
    <w:rsid w:val="00970224"/>
    <w:rsid w:val="00971277"/>
    <w:rsid w:val="0097491D"/>
    <w:rsid w:val="00976E5A"/>
    <w:rsid w:val="00983B94"/>
    <w:rsid w:val="00985068"/>
    <w:rsid w:val="00986511"/>
    <w:rsid w:val="009870CC"/>
    <w:rsid w:val="00992E39"/>
    <w:rsid w:val="009A1109"/>
    <w:rsid w:val="009A37C4"/>
    <w:rsid w:val="009A3928"/>
    <w:rsid w:val="009A6647"/>
    <w:rsid w:val="009A7EDF"/>
    <w:rsid w:val="009B05F6"/>
    <w:rsid w:val="009B0D15"/>
    <w:rsid w:val="009B20C6"/>
    <w:rsid w:val="009B2FC7"/>
    <w:rsid w:val="009B4031"/>
    <w:rsid w:val="009B6F59"/>
    <w:rsid w:val="009C1DB0"/>
    <w:rsid w:val="009C4588"/>
    <w:rsid w:val="009C6404"/>
    <w:rsid w:val="009D1C47"/>
    <w:rsid w:val="009D67FB"/>
    <w:rsid w:val="009E0033"/>
    <w:rsid w:val="009E005C"/>
    <w:rsid w:val="009E249B"/>
    <w:rsid w:val="009E595B"/>
    <w:rsid w:val="009E7DFA"/>
    <w:rsid w:val="009F0247"/>
    <w:rsid w:val="009F0582"/>
    <w:rsid w:val="009F2E96"/>
    <w:rsid w:val="009F40EE"/>
    <w:rsid w:val="00A0183A"/>
    <w:rsid w:val="00A05696"/>
    <w:rsid w:val="00A07F77"/>
    <w:rsid w:val="00A12ACF"/>
    <w:rsid w:val="00A179B0"/>
    <w:rsid w:val="00A211D9"/>
    <w:rsid w:val="00A23A0E"/>
    <w:rsid w:val="00A3521C"/>
    <w:rsid w:val="00A37A27"/>
    <w:rsid w:val="00A43FC5"/>
    <w:rsid w:val="00A46FFE"/>
    <w:rsid w:val="00A47881"/>
    <w:rsid w:val="00A51818"/>
    <w:rsid w:val="00A52836"/>
    <w:rsid w:val="00A54B21"/>
    <w:rsid w:val="00A55C80"/>
    <w:rsid w:val="00A56D79"/>
    <w:rsid w:val="00A61B9B"/>
    <w:rsid w:val="00A735F6"/>
    <w:rsid w:val="00A73611"/>
    <w:rsid w:val="00A80EBB"/>
    <w:rsid w:val="00A81A0E"/>
    <w:rsid w:val="00A82646"/>
    <w:rsid w:val="00A84EAD"/>
    <w:rsid w:val="00A90428"/>
    <w:rsid w:val="00A93144"/>
    <w:rsid w:val="00A939FC"/>
    <w:rsid w:val="00A93EB4"/>
    <w:rsid w:val="00A9475D"/>
    <w:rsid w:val="00AA0479"/>
    <w:rsid w:val="00AA0F2F"/>
    <w:rsid w:val="00AA1E78"/>
    <w:rsid w:val="00AA29F7"/>
    <w:rsid w:val="00AA3E11"/>
    <w:rsid w:val="00AA4560"/>
    <w:rsid w:val="00AA67AE"/>
    <w:rsid w:val="00AB28E9"/>
    <w:rsid w:val="00AB2BA2"/>
    <w:rsid w:val="00AB36EE"/>
    <w:rsid w:val="00AB59EA"/>
    <w:rsid w:val="00AB7F21"/>
    <w:rsid w:val="00AC2B70"/>
    <w:rsid w:val="00AD155B"/>
    <w:rsid w:val="00AE0C70"/>
    <w:rsid w:val="00AE28A2"/>
    <w:rsid w:val="00AE3F67"/>
    <w:rsid w:val="00AE3FFB"/>
    <w:rsid w:val="00AE407D"/>
    <w:rsid w:val="00AE59FF"/>
    <w:rsid w:val="00AE5E73"/>
    <w:rsid w:val="00AE5F62"/>
    <w:rsid w:val="00AF0177"/>
    <w:rsid w:val="00AF123C"/>
    <w:rsid w:val="00AF5926"/>
    <w:rsid w:val="00AF597D"/>
    <w:rsid w:val="00AF63D3"/>
    <w:rsid w:val="00B00096"/>
    <w:rsid w:val="00B00827"/>
    <w:rsid w:val="00B0730B"/>
    <w:rsid w:val="00B11A4F"/>
    <w:rsid w:val="00B13742"/>
    <w:rsid w:val="00B1497A"/>
    <w:rsid w:val="00B20756"/>
    <w:rsid w:val="00B20FA5"/>
    <w:rsid w:val="00B235DD"/>
    <w:rsid w:val="00B2390B"/>
    <w:rsid w:val="00B23D70"/>
    <w:rsid w:val="00B251FF"/>
    <w:rsid w:val="00B33DE1"/>
    <w:rsid w:val="00B366B1"/>
    <w:rsid w:val="00B37AF9"/>
    <w:rsid w:val="00B5090A"/>
    <w:rsid w:val="00B50FA4"/>
    <w:rsid w:val="00B56232"/>
    <w:rsid w:val="00B60173"/>
    <w:rsid w:val="00B64105"/>
    <w:rsid w:val="00B66250"/>
    <w:rsid w:val="00B70860"/>
    <w:rsid w:val="00B72DDA"/>
    <w:rsid w:val="00B7693A"/>
    <w:rsid w:val="00B85D42"/>
    <w:rsid w:val="00B91DA7"/>
    <w:rsid w:val="00B95B08"/>
    <w:rsid w:val="00B96B8C"/>
    <w:rsid w:val="00BA1C1A"/>
    <w:rsid w:val="00BA7240"/>
    <w:rsid w:val="00BB0B08"/>
    <w:rsid w:val="00BB3559"/>
    <w:rsid w:val="00BB3EE6"/>
    <w:rsid w:val="00BC0268"/>
    <w:rsid w:val="00BC0D14"/>
    <w:rsid w:val="00BC2E47"/>
    <w:rsid w:val="00BC5B80"/>
    <w:rsid w:val="00BD01D1"/>
    <w:rsid w:val="00BD0750"/>
    <w:rsid w:val="00BD1172"/>
    <w:rsid w:val="00BD3697"/>
    <w:rsid w:val="00BD51C7"/>
    <w:rsid w:val="00BD609B"/>
    <w:rsid w:val="00BD6FF6"/>
    <w:rsid w:val="00BD7AE9"/>
    <w:rsid w:val="00BD7B65"/>
    <w:rsid w:val="00BE2E4C"/>
    <w:rsid w:val="00BE6359"/>
    <w:rsid w:val="00BE7173"/>
    <w:rsid w:val="00BF35C4"/>
    <w:rsid w:val="00BF6D88"/>
    <w:rsid w:val="00C03C38"/>
    <w:rsid w:val="00C04F63"/>
    <w:rsid w:val="00C06892"/>
    <w:rsid w:val="00C10E5B"/>
    <w:rsid w:val="00C12FDC"/>
    <w:rsid w:val="00C17211"/>
    <w:rsid w:val="00C20671"/>
    <w:rsid w:val="00C25B21"/>
    <w:rsid w:val="00C262B8"/>
    <w:rsid w:val="00C26AFA"/>
    <w:rsid w:val="00C42130"/>
    <w:rsid w:val="00C423DA"/>
    <w:rsid w:val="00C45DB5"/>
    <w:rsid w:val="00C46E40"/>
    <w:rsid w:val="00C511B5"/>
    <w:rsid w:val="00C53D63"/>
    <w:rsid w:val="00C55E38"/>
    <w:rsid w:val="00C6154E"/>
    <w:rsid w:val="00C668A7"/>
    <w:rsid w:val="00C67F46"/>
    <w:rsid w:val="00C705EA"/>
    <w:rsid w:val="00C70EEB"/>
    <w:rsid w:val="00C71D1D"/>
    <w:rsid w:val="00C74BAC"/>
    <w:rsid w:val="00C75CAE"/>
    <w:rsid w:val="00C82B1A"/>
    <w:rsid w:val="00C82E2A"/>
    <w:rsid w:val="00C8496A"/>
    <w:rsid w:val="00C8634D"/>
    <w:rsid w:val="00C8776B"/>
    <w:rsid w:val="00C94CC7"/>
    <w:rsid w:val="00CA1937"/>
    <w:rsid w:val="00CA2F7D"/>
    <w:rsid w:val="00CA42B4"/>
    <w:rsid w:val="00CA56F4"/>
    <w:rsid w:val="00CA6028"/>
    <w:rsid w:val="00CB0C65"/>
    <w:rsid w:val="00CB6016"/>
    <w:rsid w:val="00CB625C"/>
    <w:rsid w:val="00CB67AA"/>
    <w:rsid w:val="00CC15F9"/>
    <w:rsid w:val="00CC296E"/>
    <w:rsid w:val="00CC5530"/>
    <w:rsid w:val="00CC571F"/>
    <w:rsid w:val="00CC7219"/>
    <w:rsid w:val="00CD08A6"/>
    <w:rsid w:val="00CD2817"/>
    <w:rsid w:val="00CD3057"/>
    <w:rsid w:val="00CD5051"/>
    <w:rsid w:val="00CD66F6"/>
    <w:rsid w:val="00CD7CB9"/>
    <w:rsid w:val="00CE3D6B"/>
    <w:rsid w:val="00CE4365"/>
    <w:rsid w:val="00CF06B5"/>
    <w:rsid w:val="00CF70BF"/>
    <w:rsid w:val="00CF73A5"/>
    <w:rsid w:val="00CF7864"/>
    <w:rsid w:val="00D000BB"/>
    <w:rsid w:val="00D0050C"/>
    <w:rsid w:val="00D0185C"/>
    <w:rsid w:val="00D01CFE"/>
    <w:rsid w:val="00D03A0B"/>
    <w:rsid w:val="00D06B3D"/>
    <w:rsid w:val="00D147C5"/>
    <w:rsid w:val="00D17A33"/>
    <w:rsid w:val="00D2050B"/>
    <w:rsid w:val="00D239A7"/>
    <w:rsid w:val="00D239CC"/>
    <w:rsid w:val="00D23D0D"/>
    <w:rsid w:val="00D31CCD"/>
    <w:rsid w:val="00D32DA8"/>
    <w:rsid w:val="00D34E38"/>
    <w:rsid w:val="00D425BE"/>
    <w:rsid w:val="00D4658C"/>
    <w:rsid w:val="00D55F86"/>
    <w:rsid w:val="00D64F88"/>
    <w:rsid w:val="00D66400"/>
    <w:rsid w:val="00D731B4"/>
    <w:rsid w:val="00D754F4"/>
    <w:rsid w:val="00D77500"/>
    <w:rsid w:val="00D81005"/>
    <w:rsid w:val="00D82EF8"/>
    <w:rsid w:val="00D84B71"/>
    <w:rsid w:val="00D8590D"/>
    <w:rsid w:val="00D86967"/>
    <w:rsid w:val="00D87205"/>
    <w:rsid w:val="00D95D0E"/>
    <w:rsid w:val="00DA13E9"/>
    <w:rsid w:val="00DA190B"/>
    <w:rsid w:val="00DA26A2"/>
    <w:rsid w:val="00DA2D40"/>
    <w:rsid w:val="00DA39C5"/>
    <w:rsid w:val="00DA43A5"/>
    <w:rsid w:val="00DA4740"/>
    <w:rsid w:val="00DA57C9"/>
    <w:rsid w:val="00DA7DE3"/>
    <w:rsid w:val="00DB2C66"/>
    <w:rsid w:val="00DB7BA1"/>
    <w:rsid w:val="00DB7C23"/>
    <w:rsid w:val="00DD013A"/>
    <w:rsid w:val="00DD0D8B"/>
    <w:rsid w:val="00DE2AD8"/>
    <w:rsid w:val="00DE3388"/>
    <w:rsid w:val="00DE4DA0"/>
    <w:rsid w:val="00DE63C5"/>
    <w:rsid w:val="00DE7EE7"/>
    <w:rsid w:val="00DF33A3"/>
    <w:rsid w:val="00DF5C6E"/>
    <w:rsid w:val="00E02343"/>
    <w:rsid w:val="00E02465"/>
    <w:rsid w:val="00E03D01"/>
    <w:rsid w:val="00E0768C"/>
    <w:rsid w:val="00E10FF5"/>
    <w:rsid w:val="00E11955"/>
    <w:rsid w:val="00E160FF"/>
    <w:rsid w:val="00E177CF"/>
    <w:rsid w:val="00E26B9B"/>
    <w:rsid w:val="00E26C14"/>
    <w:rsid w:val="00E30489"/>
    <w:rsid w:val="00E407D6"/>
    <w:rsid w:val="00E4113B"/>
    <w:rsid w:val="00E41346"/>
    <w:rsid w:val="00E413E4"/>
    <w:rsid w:val="00E41EB9"/>
    <w:rsid w:val="00E435D8"/>
    <w:rsid w:val="00E436EF"/>
    <w:rsid w:val="00E45748"/>
    <w:rsid w:val="00E46012"/>
    <w:rsid w:val="00E501E0"/>
    <w:rsid w:val="00E53FD7"/>
    <w:rsid w:val="00E541B5"/>
    <w:rsid w:val="00E54DD8"/>
    <w:rsid w:val="00E55644"/>
    <w:rsid w:val="00E62845"/>
    <w:rsid w:val="00E632D0"/>
    <w:rsid w:val="00E63635"/>
    <w:rsid w:val="00E66138"/>
    <w:rsid w:val="00E67A2A"/>
    <w:rsid w:val="00E70AFD"/>
    <w:rsid w:val="00E70E01"/>
    <w:rsid w:val="00E72336"/>
    <w:rsid w:val="00E76044"/>
    <w:rsid w:val="00E7616A"/>
    <w:rsid w:val="00E76B2B"/>
    <w:rsid w:val="00E801F0"/>
    <w:rsid w:val="00E80595"/>
    <w:rsid w:val="00E83A3E"/>
    <w:rsid w:val="00E8489A"/>
    <w:rsid w:val="00E914C4"/>
    <w:rsid w:val="00E91F8A"/>
    <w:rsid w:val="00E96EA5"/>
    <w:rsid w:val="00EA1377"/>
    <w:rsid w:val="00EA3037"/>
    <w:rsid w:val="00EA3137"/>
    <w:rsid w:val="00EA564E"/>
    <w:rsid w:val="00EA675C"/>
    <w:rsid w:val="00EA704A"/>
    <w:rsid w:val="00EA7597"/>
    <w:rsid w:val="00EB2E54"/>
    <w:rsid w:val="00EC7438"/>
    <w:rsid w:val="00ED4C96"/>
    <w:rsid w:val="00EE0C55"/>
    <w:rsid w:val="00EE6F60"/>
    <w:rsid w:val="00EF08EE"/>
    <w:rsid w:val="00EF159A"/>
    <w:rsid w:val="00EF21BF"/>
    <w:rsid w:val="00EF3375"/>
    <w:rsid w:val="00EF3FC3"/>
    <w:rsid w:val="00EF460D"/>
    <w:rsid w:val="00EF58C2"/>
    <w:rsid w:val="00EF6A92"/>
    <w:rsid w:val="00EF7224"/>
    <w:rsid w:val="00EF7351"/>
    <w:rsid w:val="00F0673E"/>
    <w:rsid w:val="00F12F8E"/>
    <w:rsid w:val="00F13A67"/>
    <w:rsid w:val="00F14977"/>
    <w:rsid w:val="00F1556D"/>
    <w:rsid w:val="00F23CC3"/>
    <w:rsid w:val="00F24E65"/>
    <w:rsid w:val="00F2508C"/>
    <w:rsid w:val="00F26EF9"/>
    <w:rsid w:val="00F273E2"/>
    <w:rsid w:val="00F30896"/>
    <w:rsid w:val="00F4567E"/>
    <w:rsid w:val="00F462A6"/>
    <w:rsid w:val="00F50FA1"/>
    <w:rsid w:val="00F52447"/>
    <w:rsid w:val="00F53B11"/>
    <w:rsid w:val="00F55462"/>
    <w:rsid w:val="00F57DDA"/>
    <w:rsid w:val="00F62033"/>
    <w:rsid w:val="00F62558"/>
    <w:rsid w:val="00F6328C"/>
    <w:rsid w:val="00F70733"/>
    <w:rsid w:val="00F707D9"/>
    <w:rsid w:val="00F71951"/>
    <w:rsid w:val="00F72318"/>
    <w:rsid w:val="00F7403D"/>
    <w:rsid w:val="00F74C42"/>
    <w:rsid w:val="00F76497"/>
    <w:rsid w:val="00F76E81"/>
    <w:rsid w:val="00F80566"/>
    <w:rsid w:val="00F828DE"/>
    <w:rsid w:val="00F83940"/>
    <w:rsid w:val="00F83CA3"/>
    <w:rsid w:val="00F86114"/>
    <w:rsid w:val="00F900DB"/>
    <w:rsid w:val="00F916B2"/>
    <w:rsid w:val="00F93DCB"/>
    <w:rsid w:val="00F966AE"/>
    <w:rsid w:val="00F968A4"/>
    <w:rsid w:val="00F97893"/>
    <w:rsid w:val="00FA024A"/>
    <w:rsid w:val="00FA0F9F"/>
    <w:rsid w:val="00FA1047"/>
    <w:rsid w:val="00FA1DFE"/>
    <w:rsid w:val="00FA58CA"/>
    <w:rsid w:val="00FA5E97"/>
    <w:rsid w:val="00FA69FD"/>
    <w:rsid w:val="00FB18A9"/>
    <w:rsid w:val="00FB27E3"/>
    <w:rsid w:val="00FB4147"/>
    <w:rsid w:val="00FC5348"/>
    <w:rsid w:val="00FC6A30"/>
    <w:rsid w:val="00FD3621"/>
    <w:rsid w:val="00FD699B"/>
    <w:rsid w:val="00FE273A"/>
    <w:rsid w:val="00FF2FD4"/>
    <w:rsid w:val="00FF6F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7C70"/>
    <w:rPr>
      <w:rFonts w:ascii="Footlight MT" w:hAnsi="Footlight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2BC0"/>
    <w:pPr>
      <w:tabs>
        <w:tab w:val="center" w:pos="4320"/>
        <w:tab w:val="right" w:pos="8640"/>
      </w:tabs>
    </w:pPr>
  </w:style>
  <w:style w:type="paragraph" w:styleId="Footer">
    <w:name w:val="footer"/>
    <w:basedOn w:val="Normal"/>
    <w:rsid w:val="00312BC0"/>
    <w:pPr>
      <w:tabs>
        <w:tab w:val="center" w:pos="4320"/>
        <w:tab w:val="right" w:pos="8640"/>
      </w:tabs>
    </w:pPr>
  </w:style>
  <w:style w:type="table" w:styleId="TableGrid">
    <w:name w:val="Table Grid"/>
    <w:basedOn w:val="TableNormal"/>
    <w:rsid w:val="004A1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B36EE"/>
    <w:rPr>
      <w:rFonts w:ascii="Tahoma" w:hAnsi="Tahoma" w:cs="Tahoma"/>
      <w:sz w:val="16"/>
      <w:szCs w:val="16"/>
    </w:rPr>
  </w:style>
  <w:style w:type="character" w:styleId="PageNumber">
    <w:name w:val="page number"/>
    <w:basedOn w:val="DefaultParagraphFont"/>
    <w:rsid w:val="00D000BB"/>
  </w:style>
  <w:style w:type="paragraph" w:styleId="ListParagraph">
    <w:name w:val="List Paragraph"/>
    <w:basedOn w:val="Normal"/>
    <w:uiPriority w:val="34"/>
    <w:qFormat/>
    <w:rsid w:val="00407197"/>
    <w:pPr>
      <w:ind w:left="720"/>
    </w:pPr>
  </w:style>
</w:styles>
</file>

<file path=word/webSettings.xml><?xml version="1.0" encoding="utf-8"?>
<w:webSettings xmlns:r="http://schemas.openxmlformats.org/officeDocument/2006/relationships" xmlns:w="http://schemas.openxmlformats.org/wordprocessingml/2006/main">
  <w:divs>
    <w:div w:id="125976523">
      <w:bodyDiv w:val="1"/>
      <w:marLeft w:val="0"/>
      <w:marRight w:val="0"/>
      <w:marTop w:val="0"/>
      <w:marBottom w:val="0"/>
      <w:divBdr>
        <w:top w:val="none" w:sz="0" w:space="0" w:color="auto"/>
        <w:left w:val="none" w:sz="0" w:space="0" w:color="auto"/>
        <w:bottom w:val="none" w:sz="0" w:space="0" w:color="auto"/>
        <w:right w:val="none" w:sz="0" w:space="0" w:color="auto"/>
      </w:divBdr>
      <w:divsChild>
        <w:div w:id="1758750460">
          <w:marLeft w:val="547"/>
          <w:marRight w:val="0"/>
          <w:marTop w:val="202"/>
          <w:marBottom w:val="202"/>
          <w:divBdr>
            <w:top w:val="none" w:sz="0" w:space="0" w:color="auto"/>
            <w:left w:val="none" w:sz="0" w:space="0" w:color="auto"/>
            <w:bottom w:val="none" w:sz="0" w:space="0" w:color="auto"/>
            <w:right w:val="none" w:sz="0" w:space="0" w:color="auto"/>
          </w:divBdr>
        </w:div>
      </w:divsChild>
    </w:div>
    <w:div w:id="443161512">
      <w:bodyDiv w:val="1"/>
      <w:marLeft w:val="0"/>
      <w:marRight w:val="0"/>
      <w:marTop w:val="0"/>
      <w:marBottom w:val="0"/>
      <w:divBdr>
        <w:top w:val="none" w:sz="0" w:space="0" w:color="auto"/>
        <w:left w:val="none" w:sz="0" w:space="0" w:color="auto"/>
        <w:bottom w:val="none" w:sz="0" w:space="0" w:color="auto"/>
        <w:right w:val="none" w:sz="0" w:space="0" w:color="auto"/>
      </w:divBdr>
    </w:div>
    <w:div w:id="179798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B2ABC-8955-429C-AB94-A77D5D67A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13</Pages>
  <Words>2888</Words>
  <Characters>16578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Major Items in the Governor’s Amendments to General Fund Budget </vt:lpstr>
    </vt:vector>
  </TitlesOfParts>
  <Company>Commonwealth of Virginia</Company>
  <LinksUpToDate>false</LinksUpToDate>
  <CharactersWithSpaces>19428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Items in the Governor’s Amendments to General Fund Budget </dc:title>
  <dc:subject/>
  <dc:creator>YanZheng</dc:creator>
  <cp:keywords/>
  <dc:description/>
  <cp:lastModifiedBy>rca04294</cp:lastModifiedBy>
  <cp:revision>45</cp:revision>
  <cp:lastPrinted>2013-12-17T16:03:00Z</cp:lastPrinted>
  <dcterms:created xsi:type="dcterms:W3CDTF">2013-12-14T20:17:00Z</dcterms:created>
  <dcterms:modified xsi:type="dcterms:W3CDTF">2013-12-17T20:39:00Z</dcterms:modified>
</cp:coreProperties>
</file>